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F4A1F" w14:textId="77777777" w:rsidR="00F349A9" w:rsidRPr="00784051" w:rsidRDefault="00F349A9" w:rsidP="00F349A9">
      <w:pPr>
        <w:pStyle w:val="Titolo"/>
        <w:rPr>
          <w:lang w:val="en-US"/>
        </w:rPr>
      </w:pPr>
      <w:r w:rsidRPr="00784051">
        <w:rPr>
          <w:lang w:val="en-US"/>
        </w:rPr>
        <w:t xml:space="preserve">Key Advantages of </w:t>
      </w:r>
      <w:proofErr w:type="gramStart"/>
      <w:r w:rsidRPr="00784051">
        <w:rPr>
          <w:lang w:val="en-US"/>
        </w:rPr>
        <w:t>Non Invasive</w:t>
      </w:r>
      <w:proofErr w:type="gramEnd"/>
      <w:r w:rsidRPr="00784051">
        <w:rPr>
          <w:lang w:val="en-US"/>
        </w:rPr>
        <w:t xml:space="preserve"> Ventilators (NIV)</w:t>
      </w:r>
    </w:p>
    <w:p w14:paraId="63A908AC" w14:textId="77777777" w:rsidR="00F349A9" w:rsidRPr="00F349A9" w:rsidRDefault="00F349A9" w:rsidP="00F349A9">
      <w:pPr>
        <w:pStyle w:val="Titolo1"/>
        <w:rPr>
          <w:rStyle w:val="Titolo1Carattere"/>
          <w:b/>
          <w:bCs/>
        </w:rPr>
      </w:pPr>
      <w:proofErr w:type="spellStart"/>
      <w:r w:rsidRPr="00F349A9">
        <w:rPr>
          <w:rStyle w:val="Titolo1Carattere"/>
          <w:b/>
          <w:bCs/>
        </w:rPr>
        <w:t>Introduction</w:t>
      </w:r>
      <w:proofErr w:type="spellEnd"/>
    </w:p>
    <w:p w14:paraId="17B205B5" w14:textId="66BEA1CC" w:rsidR="00F349A9" w:rsidRDefault="00F349A9" w:rsidP="00F349A9">
      <w:pPr>
        <w:rPr>
          <w:lang w:val="en-US"/>
        </w:rPr>
      </w:pPr>
      <w:r w:rsidRPr="00333FA1">
        <w:rPr>
          <w:lang w:val="en-US"/>
        </w:rPr>
        <w:t xml:space="preserve">The pandemic caused by SARS-CoV-2 has brought to light </w:t>
      </w:r>
      <w:r>
        <w:rPr>
          <w:lang w:val="en-US"/>
        </w:rPr>
        <w:t>several</w:t>
      </w:r>
      <w:r w:rsidRPr="00333FA1">
        <w:rPr>
          <w:lang w:val="en-US"/>
        </w:rPr>
        <w:t xml:space="preserve"> problems related to </w:t>
      </w:r>
      <w:r>
        <w:rPr>
          <w:lang w:val="en-US"/>
        </w:rPr>
        <w:t xml:space="preserve">lung </w:t>
      </w:r>
      <w:r w:rsidRPr="00333FA1">
        <w:rPr>
          <w:lang w:val="en-US"/>
        </w:rPr>
        <w:t xml:space="preserve">ventilation. These included the adoption of early invasive measures, due to the risk of a repentant worsening of the general condition of hospitalized patients, and the increased probability of spread of the virus through droplets and aerosols. For these reasons, during the </w:t>
      </w:r>
      <w:proofErr w:type="gramStart"/>
      <w:r w:rsidRPr="00333FA1">
        <w:rPr>
          <w:lang w:val="en-US"/>
        </w:rPr>
        <w:t>emergency situation</w:t>
      </w:r>
      <w:proofErr w:type="gramEnd"/>
      <w:r w:rsidRPr="00333FA1">
        <w:rPr>
          <w:lang w:val="en-US"/>
        </w:rPr>
        <w:t xml:space="preserve">, intubation with consequent mechanical ventilation was often preferred instead of using an intermediate step, although there was not always an </w:t>
      </w:r>
      <w:r w:rsidRPr="00202A4E">
        <w:rPr>
          <w:lang w:val="en-US"/>
        </w:rPr>
        <w:t>indication</w:t>
      </w:r>
      <w:r w:rsidRPr="00333FA1">
        <w:rPr>
          <w:lang w:val="en-US"/>
        </w:rPr>
        <w:t xml:space="preserve"> for such a drastic measure. However, this approach had consequences: </w:t>
      </w:r>
      <w:proofErr w:type="gramStart"/>
      <w:r w:rsidRPr="00333FA1">
        <w:rPr>
          <w:lang w:val="en-US"/>
        </w:rPr>
        <w:t>a large number of</w:t>
      </w:r>
      <w:proofErr w:type="gramEnd"/>
      <w:r w:rsidRPr="00333FA1">
        <w:rPr>
          <w:lang w:val="en-US"/>
        </w:rPr>
        <w:t xml:space="preserve"> patients who would have benefited from non-invasive treatment underwent intubation, with an increased risk of ventilator-induced lung damage [1-2-3] and healthcare-acquired pneumonia [4]. In addition, there are numerous problems related to patient </w:t>
      </w:r>
      <w:proofErr w:type="spellStart"/>
      <w:r w:rsidRPr="00333FA1">
        <w:rPr>
          <w:lang w:val="en-US"/>
        </w:rPr>
        <w:t>extubation</w:t>
      </w:r>
      <w:proofErr w:type="spellEnd"/>
      <w:r w:rsidRPr="00333FA1">
        <w:rPr>
          <w:lang w:val="en-US"/>
        </w:rPr>
        <w:t>, a field in which the use of non-invasive ventilation methods plays an important role.</w:t>
      </w:r>
    </w:p>
    <w:p w14:paraId="2391BB29" w14:textId="2E3632EF" w:rsidR="00F349A9" w:rsidRDefault="00F349A9" w:rsidP="00F349A9">
      <w:pPr>
        <w:rPr>
          <w:lang w:val="en-US"/>
        </w:rPr>
      </w:pPr>
      <w:r w:rsidRPr="00333FA1">
        <w:rPr>
          <w:lang w:val="en-US"/>
        </w:rPr>
        <w:t xml:space="preserve">The new </w:t>
      </w:r>
      <w:r>
        <w:rPr>
          <w:lang w:val="en-US"/>
        </w:rPr>
        <w:t>device,</w:t>
      </w:r>
      <w:r w:rsidRPr="00333FA1">
        <w:rPr>
          <w:lang w:val="en-US"/>
        </w:rPr>
        <w:t xml:space="preserve"> </w:t>
      </w:r>
      <w:proofErr w:type="spellStart"/>
      <w:r w:rsidR="00B6112B">
        <w:rPr>
          <w:b/>
          <w:bCs/>
          <w:lang w:val="en-US"/>
        </w:rPr>
        <w:t>Biorespira</w:t>
      </w:r>
      <w:proofErr w:type="spellEnd"/>
      <w:r w:rsidRPr="00333FA1">
        <w:rPr>
          <w:lang w:val="en-US"/>
        </w:rPr>
        <w:t xml:space="preserve">, is a non-invasive ventilator capable of generating high flows. In fact, it allows </w:t>
      </w:r>
      <w:r>
        <w:rPr>
          <w:lang w:val="en-US"/>
        </w:rPr>
        <w:t>the operator</w:t>
      </w:r>
      <w:r w:rsidRPr="00333FA1">
        <w:rPr>
          <w:lang w:val="en-US"/>
        </w:rPr>
        <w:t xml:space="preserve"> to combine a ventilation mode with high flow</w:t>
      </w:r>
      <w:r>
        <w:rPr>
          <w:lang w:val="en-US"/>
        </w:rPr>
        <w:t xml:space="preserve"> nasal cannulas</w:t>
      </w:r>
      <w:r w:rsidRPr="00333FA1">
        <w:rPr>
          <w:lang w:val="en-US"/>
        </w:rPr>
        <w:t xml:space="preserve"> (HFNC) with a CPAP mode thanks to the setting of various PEEPs, </w:t>
      </w:r>
      <w:r>
        <w:rPr>
          <w:lang w:val="en-US"/>
        </w:rPr>
        <w:t>exploiting</w:t>
      </w:r>
      <w:r w:rsidRPr="00333FA1">
        <w:rPr>
          <w:lang w:val="en-US"/>
        </w:rPr>
        <w:t xml:space="preserve"> the advantages of </w:t>
      </w:r>
      <w:proofErr w:type="gramStart"/>
      <w:r w:rsidRPr="00333FA1">
        <w:rPr>
          <w:lang w:val="en-US"/>
        </w:rPr>
        <w:t>both of these</w:t>
      </w:r>
      <w:proofErr w:type="gramEnd"/>
      <w:r w:rsidRPr="00333FA1">
        <w:rPr>
          <w:lang w:val="en-US"/>
        </w:rPr>
        <w:t xml:space="preserve"> methods. In addition, thanks to the use of a helmet or </w:t>
      </w:r>
      <w:proofErr w:type="gramStart"/>
      <w:r w:rsidRPr="00333FA1">
        <w:rPr>
          <w:lang w:val="en-US"/>
        </w:rPr>
        <w:t>full face</w:t>
      </w:r>
      <w:proofErr w:type="gramEnd"/>
      <w:r w:rsidRPr="00333FA1">
        <w:rPr>
          <w:lang w:val="en-US"/>
        </w:rPr>
        <w:t xml:space="preserve"> mask</w:t>
      </w:r>
      <w:r>
        <w:rPr>
          <w:lang w:val="en-US"/>
        </w:rPr>
        <w:t>,</w:t>
      </w:r>
      <w:r w:rsidRPr="00333FA1">
        <w:rPr>
          <w:lang w:val="en-US"/>
        </w:rPr>
        <w:t xml:space="preserve"> it is possible to create a closed system that prevents the risk of transmission of the virus through aerosols.</w:t>
      </w:r>
    </w:p>
    <w:p w14:paraId="71DFFD03" w14:textId="38FA62D0" w:rsidR="00F349A9" w:rsidRPr="00F349A9" w:rsidRDefault="00F349A9" w:rsidP="00F349A9">
      <w:pPr>
        <w:pStyle w:val="Titolo1"/>
      </w:pPr>
      <w:r w:rsidRPr="00F349A9">
        <w:rPr>
          <w:rStyle w:val="Titolo1Carattere"/>
          <w:b/>
          <w:bCs/>
        </w:rPr>
        <w:t>HFNC</w:t>
      </w:r>
    </w:p>
    <w:p w14:paraId="489DA0BE" w14:textId="4ACFDA3C" w:rsidR="00F349A9" w:rsidRPr="00333FA1" w:rsidRDefault="00F349A9" w:rsidP="00F349A9">
      <w:pPr>
        <w:rPr>
          <w:lang w:val="en-US"/>
        </w:rPr>
      </w:pPr>
      <w:r w:rsidRPr="003A5F7B">
        <w:rPr>
          <w:lang w:val="en-US"/>
        </w:rPr>
        <w:t xml:space="preserve">The </w:t>
      </w:r>
      <w:proofErr w:type="spellStart"/>
      <w:r w:rsidR="00B6112B">
        <w:rPr>
          <w:b/>
          <w:bCs/>
          <w:lang w:val="en-US"/>
        </w:rPr>
        <w:t>Biorespira</w:t>
      </w:r>
      <w:proofErr w:type="spellEnd"/>
      <w:r w:rsidRPr="003A5F7B">
        <w:rPr>
          <w:lang w:val="en-US"/>
        </w:rPr>
        <w:t xml:space="preserve"> HFNC</w:t>
      </w:r>
      <w:r>
        <w:rPr>
          <w:lang w:val="en-US"/>
        </w:rPr>
        <w:t>,</w:t>
      </w:r>
      <w:r w:rsidRPr="003A5F7B">
        <w:rPr>
          <w:lang w:val="en-US"/>
        </w:rPr>
        <w:t xml:space="preserve"> when associated with a humidifier</w:t>
      </w:r>
      <w:r>
        <w:rPr>
          <w:lang w:val="en-US"/>
        </w:rPr>
        <w:t>,</w:t>
      </w:r>
      <w:r w:rsidRPr="003A5F7B">
        <w:rPr>
          <w:lang w:val="en-US"/>
        </w:rPr>
        <w:t xml:space="preserve"> allows the creation of an oxygenated, heated and humidified gas administered through </w:t>
      </w:r>
      <w:r>
        <w:rPr>
          <w:lang w:val="en-US"/>
        </w:rPr>
        <w:t>nasal cannulas</w:t>
      </w:r>
      <w:r w:rsidRPr="003A5F7B">
        <w:rPr>
          <w:lang w:val="en-US"/>
        </w:rPr>
        <w:t xml:space="preserve"> at flows up to 120L / min (the only fan on the market to achieve such high flows). These characteristics allow to maintain the hydration and mobility of secretions, preserving the </w:t>
      </w:r>
      <w:proofErr w:type="spellStart"/>
      <w:r w:rsidRPr="003A5F7B">
        <w:rPr>
          <w:lang w:val="en-US"/>
        </w:rPr>
        <w:t>mucociliary</w:t>
      </w:r>
      <w:proofErr w:type="spellEnd"/>
      <w:r w:rsidRPr="003A5F7B">
        <w:rPr>
          <w:lang w:val="en-US"/>
        </w:rPr>
        <w:t xml:space="preserve"> function, and at the same time provide a suitable amount of air even for </w:t>
      </w:r>
      <w:proofErr w:type="spellStart"/>
      <w:r w:rsidRPr="003A5F7B">
        <w:rPr>
          <w:lang w:val="en-US"/>
        </w:rPr>
        <w:t>dyspnoic</w:t>
      </w:r>
      <w:proofErr w:type="spellEnd"/>
      <w:r w:rsidRPr="003A5F7B">
        <w:rPr>
          <w:lang w:val="en-US"/>
        </w:rPr>
        <w:t xml:space="preserve"> patients. Thanks to </w:t>
      </w:r>
      <w:proofErr w:type="gramStart"/>
      <w:r w:rsidRPr="003A5F7B">
        <w:rPr>
          <w:lang w:val="en-US"/>
        </w:rPr>
        <w:t>a sufficient quantity of</w:t>
      </w:r>
      <w:proofErr w:type="gramEnd"/>
      <w:r w:rsidRPr="003A5F7B">
        <w:rPr>
          <w:lang w:val="en-US"/>
        </w:rPr>
        <w:t xml:space="preserve"> delivered air, the HFNC allows to maintain constant FiO2, avoiding dilutions with the ambient air typical of standard oxygenation techniques (SO). Furthermore, this machinery, with the washing of the nasopharynx, considered anatomical dead space, allows to reduce the patient's expiratory work thus improving ventilatory efficiency. Finally, the expiratory impedance creates a positive expiratory pressure (PEEP) equal to 1cmH2O / 10L / min of flow, favoring the increase in lung volume at the end of expiration.</w:t>
      </w:r>
      <w:r>
        <w:rPr>
          <w:lang w:val="en-US"/>
        </w:rPr>
        <w:tab/>
      </w:r>
      <w:r>
        <w:rPr>
          <w:lang w:val="en-US"/>
        </w:rPr>
        <w:br/>
      </w:r>
      <w:r w:rsidRPr="00606C80">
        <w:rPr>
          <w:lang w:val="en-US"/>
        </w:rPr>
        <w:t xml:space="preserve">Numerous studies have shown that HFNC is more tolerated than NIV and SO and provides greater oxygenation than SO [5-6-7]. A significant decrease in the intubation rate in the subgroup of patients with PaO2 / FiO2 &lt;200 has also been demonstrated thanks to the use of HFNC compared to NIV or SO [8]. Thanks to all these characteristics, HFNC is currently to be considered as the first line in patients with COVID-19 pneumonia with mild or moderate </w:t>
      </w:r>
      <w:r w:rsidRPr="00B1442E">
        <w:rPr>
          <w:lang w:val="en-US"/>
        </w:rPr>
        <w:t xml:space="preserve">hypoxemia </w:t>
      </w:r>
      <w:r w:rsidRPr="00606C80">
        <w:rPr>
          <w:lang w:val="en-US"/>
        </w:rPr>
        <w:t xml:space="preserve">according to numerous guidelines, although </w:t>
      </w:r>
      <w:r>
        <w:rPr>
          <w:lang w:val="en-US"/>
        </w:rPr>
        <w:t>the topic is still controversial</w:t>
      </w:r>
      <w:r w:rsidRPr="00606C80">
        <w:rPr>
          <w:lang w:val="en-US"/>
        </w:rPr>
        <w:t xml:space="preserve"> [9].</w:t>
      </w:r>
    </w:p>
    <w:p w14:paraId="622C66CC" w14:textId="0A475FAE" w:rsidR="00F349A9" w:rsidRDefault="00F349A9" w:rsidP="00F349A9">
      <w:pPr>
        <w:rPr>
          <w:lang w:val="en-US"/>
        </w:rPr>
      </w:pPr>
      <w:r>
        <w:rPr>
          <w:lang w:val="en-US"/>
        </w:rPr>
        <w:t>In the next future</w:t>
      </w:r>
      <w:r w:rsidRPr="0097048D">
        <w:rPr>
          <w:b/>
          <w:bCs/>
          <w:lang w:val="en-US"/>
        </w:rPr>
        <w:t xml:space="preserve"> </w:t>
      </w:r>
      <w:proofErr w:type="spellStart"/>
      <w:r w:rsidR="00B6112B">
        <w:rPr>
          <w:b/>
          <w:bCs/>
          <w:lang w:val="en-US"/>
        </w:rPr>
        <w:t>Biorespira</w:t>
      </w:r>
      <w:proofErr w:type="spellEnd"/>
      <w:r w:rsidRPr="003F6CB8">
        <w:rPr>
          <w:lang w:val="en-US"/>
        </w:rPr>
        <w:t xml:space="preserve"> will also be equipped with a monitoring system based on oxygen saturation (SaO2), heart rate (HR), respiratory rate (RR) and the ROX indicator [(</w:t>
      </w:r>
      <w:proofErr w:type="spellStart"/>
      <w:r w:rsidRPr="003F6CB8">
        <w:rPr>
          <w:lang w:val="en-US"/>
        </w:rPr>
        <w:t>SaO</w:t>
      </w:r>
      <w:proofErr w:type="spellEnd"/>
      <w:r w:rsidRPr="003F6CB8">
        <w:rPr>
          <w:lang w:val="en-US"/>
        </w:rPr>
        <w:t xml:space="preserve"> 2 / FiO2) / </w:t>
      </w:r>
      <w:proofErr w:type="gramStart"/>
      <w:r w:rsidRPr="003F6CB8">
        <w:rPr>
          <w:lang w:val="en-US"/>
        </w:rPr>
        <w:t>( RR</w:t>
      </w:r>
      <w:proofErr w:type="gramEnd"/>
      <w:r w:rsidRPr="003F6CB8">
        <w:rPr>
          <w:lang w:val="en-US"/>
        </w:rPr>
        <w:t xml:space="preserve">)]. These indicators provide an assessment of the efficacy of the therapy and the patient's condition, allowing early identification of patients who would need intubation, preventing the use of emergency maneuvers. It has in fact been shown that the RR, detected at 2 hours of treatment (RR &lt;29rpm), and the FiO2 &lt;0.59 and ROXI&gt; 5.98, both detected at 8 hours of treatment, are the best predictors of success. of HFNC therapy [10]. A modified version of ROXI, ROXI-HR, which adds heart rate assessment, is also being studied: although validation studies are needed, the ROXI-HR index appears to be a promising tool for identifying failure early. treatment with HFNC for acute hypoxemic respiratory failure or for preventive treatment after a planned </w:t>
      </w:r>
      <w:proofErr w:type="spellStart"/>
      <w:r w:rsidRPr="003F6CB8">
        <w:rPr>
          <w:lang w:val="en-US"/>
        </w:rPr>
        <w:t>extubation</w:t>
      </w:r>
      <w:proofErr w:type="spellEnd"/>
      <w:r w:rsidRPr="003F6CB8">
        <w:rPr>
          <w:lang w:val="en-US"/>
        </w:rPr>
        <w:t xml:space="preserve"> [11].</w:t>
      </w:r>
    </w:p>
    <w:p w14:paraId="65224CFF" w14:textId="6758D2EE" w:rsidR="00F349A9" w:rsidRDefault="00F349A9" w:rsidP="00F349A9">
      <w:pPr>
        <w:rPr>
          <w:lang w:val="en-US"/>
        </w:rPr>
      </w:pPr>
      <w:r w:rsidRPr="000345F1">
        <w:rPr>
          <w:lang w:val="en-US"/>
        </w:rPr>
        <w:t>To conclude, HFNC is a very simple and safe method to apply, with excellent compliance by patients. The main risks are related to the administration of an HFNC to unstable or severely hypoxemic patients associated with inadequate monitoring: this can lead to severe hypoxemia and emergency intubation.</w:t>
      </w:r>
    </w:p>
    <w:p w14:paraId="35731EFE" w14:textId="77777777" w:rsidR="00F349A9" w:rsidRPr="00F349A9" w:rsidRDefault="00F349A9" w:rsidP="00F349A9">
      <w:pPr>
        <w:pStyle w:val="Titolo1"/>
        <w:rPr>
          <w:rStyle w:val="Titolo1Carattere"/>
          <w:b/>
          <w:bCs/>
        </w:rPr>
      </w:pPr>
      <w:r w:rsidRPr="00F349A9">
        <w:rPr>
          <w:rStyle w:val="Titolo1Carattere"/>
          <w:b/>
          <w:bCs/>
        </w:rPr>
        <w:t>CPAP</w:t>
      </w:r>
    </w:p>
    <w:p w14:paraId="6FF0B145" w14:textId="5D497C8F" w:rsidR="00F349A9" w:rsidRPr="0004259D" w:rsidRDefault="00B6112B" w:rsidP="00F349A9">
      <w:pPr>
        <w:rPr>
          <w:lang w:val="en-US"/>
        </w:rPr>
      </w:pPr>
      <w:proofErr w:type="spellStart"/>
      <w:r>
        <w:rPr>
          <w:b/>
          <w:bCs/>
          <w:lang w:val="en-US"/>
        </w:rPr>
        <w:t>Biorespira</w:t>
      </w:r>
      <w:proofErr w:type="spellEnd"/>
      <w:r w:rsidR="00F349A9" w:rsidRPr="0004259D">
        <w:rPr>
          <w:lang w:val="en-US"/>
        </w:rPr>
        <w:t xml:space="preserve"> allows </w:t>
      </w:r>
      <w:r w:rsidR="00F349A9">
        <w:rPr>
          <w:lang w:val="en-US"/>
        </w:rPr>
        <w:t>the operator</w:t>
      </w:r>
      <w:r w:rsidR="00F349A9" w:rsidRPr="0004259D">
        <w:rPr>
          <w:lang w:val="en-US"/>
        </w:rPr>
        <w:t xml:space="preserve"> to set progressively increasing PEEP up to 15 cmH20, so that it can be used as a CPAP. This favors the increase of the residual functional capacity.</w:t>
      </w:r>
    </w:p>
    <w:p w14:paraId="7FCD8DB6" w14:textId="77777777" w:rsidR="00F349A9" w:rsidRDefault="00F349A9" w:rsidP="00F349A9">
      <w:pPr>
        <w:rPr>
          <w:lang w:val="en-US"/>
        </w:rPr>
      </w:pPr>
      <w:r w:rsidRPr="0004259D">
        <w:rPr>
          <w:lang w:val="en-US"/>
        </w:rPr>
        <w:t xml:space="preserve">Observational studies have shown that NIV and CPAP can stabilize the clinical course of a patient with mild to moderate acute respiratory failure due to COVID-19, provided that the patient does not demonstrate high inspiratory thrust and does not exert </w:t>
      </w:r>
      <w:r>
        <w:rPr>
          <w:lang w:val="en-US"/>
        </w:rPr>
        <w:t xml:space="preserve">excessive </w:t>
      </w:r>
      <w:r w:rsidRPr="0004259D">
        <w:rPr>
          <w:lang w:val="en-US"/>
        </w:rPr>
        <w:t>inspiratory effort. [1-12].</w:t>
      </w:r>
    </w:p>
    <w:p w14:paraId="0BC283D2" w14:textId="77777777" w:rsidR="00F349A9" w:rsidRDefault="00F349A9" w:rsidP="00F349A9">
      <w:pPr>
        <w:rPr>
          <w:lang w:val="en-US"/>
        </w:rPr>
      </w:pPr>
    </w:p>
    <w:p w14:paraId="4373B9D1" w14:textId="77777777" w:rsidR="00F349A9" w:rsidRPr="00F349A9" w:rsidRDefault="00F349A9" w:rsidP="00F349A9">
      <w:pPr>
        <w:pStyle w:val="Titolo1"/>
        <w:rPr>
          <w:rStyle w:val="Titolo1Carattere"/>
          <w:b/>
          <w:bCs/>
        </w:rPr>
      </w:pPr>
      <w:r w:rsidRPr="00F349A9">
        <w:rPr>
          <w:rStyle w:val="Titolo1Carattere"/>
          <w:b/>
          <w:bCs/>
        </w:rPr>
        <w:lastRenderedPageBreak/>
        <w:t xml:space="preserve">Virus </w:t>
      </w:r>
      <w:proofErr w:type="spellStart"/>
      <w:r w:rsidRPr="00F349A9">
        <w:rPr>
          <w:rStyle w:val="Titolo1Carattere"/>
          <w:b/>
          <w:bCs/>
        </w:rPr>
        <w:t>spreading</w:t>
      </w:r>
      <w:proofErr w:type="spellEnd"/>
      <w:r w:rsidRPr="00F349A9">
        <w:rPr>
          <w:rStyle w:val="Titolo1Carattere"/>
          <w:b/>
          <w:bCs/>
        </w:rPr>
        <w:t xml:space="preserve"> risk</w:t>
      </w:r>
    </w:p>
    <w:p w14:paraId="4047B6C7" w14:textId="15FEB455" w:rsidR="00F349A9" w:rsidRDefault="00F349A9" w:rsidP="00F349A9">
      <w:pPr>
        <w:rPr>
          <w:lang w:val="en-US"/>
        </w:rPr>
      </w:pPr>
      <w:r w:rsidRPr="00086B24">
        <w:rPr>
          <w:lang w:val="en-US"/>
        </w:rPr>
        <w:t>During the pandemic, the European Respiratory Society and the European Society of Intensive Care Medi-cine suggested the use of the helmet as the main interface for the patient, in order to protect healthcare personnel from the dispersion of infected particles, a recommendation also shared from the Italian Society of Pneumology [13-14]. Based on a recent review, it was concluded that CPAP using an oronasal mask and NIV using a helmet with an inflatable neck pillow are the methods of ventilatory support that allow for minimal contamination of the air in the room, and to a lesser extent than any other oxygen delivery system [15].</w:t>
      </w:r>
    </w:p>
    <w:p w14:paraId="1A3BBF92" w14:textId="77777777" w:rsidR="00F349A9" w:rsidRDefault="00F349A9" w:rsidP="00F349A9">
      <w:pPr>
        <w:rPr>
          <w:lang w:val="en-US"/>
        </w:rPr>
      </w:pPr>
      <w:r w:rsidRPr="003A01B6">
        <w:rPr>
          <w:lang w:val="en-US"/>
        </w:rPr>
        <w:t>Despite the use of recommended PPE, a study carried out in 9 hospitals</w:t>
      </w:r>
      <w:r>
        <w:rPr>
          <w:lang w:val="en-US"/>
        </w:rPr>
        <w:t xml:space="preserve"> in the Emilia-Romagna region of Italy</w:t>
      </w:r>
      <w:r w:rsidRPr="003A01B6">
        <w:rPr>
          <w:lang w:val="en-US"/>
        </w:rPr>
        <w:t xml:space="preserve"> has shown a contagion rate of 11.4% among healthcare workers in contact with infected patients in a period from 1 March to 10 May [16] . Despite this relevant data, WHO continues to support the use of CPAP or NIV for the management of respiratory failure in COVID-19 patients, </w:t>
      </w:r>
      <w:proofErr w:type="gramStart"/>
      <w:r w:rsidRPr="003A01B6">
        <w:rPr>
          <w:lang w:val="en-US"/>
        </w:rPr>
        <w:t>provided that</w:t>
      </w:r>
      <w:proofErr w:type="gramEnd"/>
      <w:r w:rsidRPr="003A01B6">
        <w:rPr>
          <w:lang w:val="en-US"/>
        </w:rPr>
        <w:t xml:space="preserve"> personnel wear appropriate PPE [17]. In fact, discouraging the use of non-invasive ventilation methods in the COVID-19 pandemic can increase the need for intubation, leading to greater morbidity and mortality and reduced availability of ventilators, especially in those geographic areas severely affected by the pandemic.</w:t>
      </w:r>
    </w:p>
    <w:p w14:paraId="7AC648AB" w14:textId="77777777" w:rsidR="00F349A9" w:rsidRPr="00F349A9" w:rsidRDefault="00F349A9" w:rsidP="00F349A9">
      <w:pPr>
        <w:pStyle w:val="Titolo1"/>
        <w:rPr>
          <w:rStyle w:val="Titolo1Carattere"/>
          <w:b/>
          <w:bCs/>
        </w:rPr>
      </w:pPr>
      <w:proofErr w:type="spellStart"/>
      <w:r w:rsidRPr="00F349A9">
        <w:rPr>
          <w:rStyle w:val="Titolo1Carattere"/>
          <w:b/>
          <w:bCs/>
        </w:rPr>
        <w:t>Guidelines</w:t>
      </w:r>
      <w:proofErr w:type="spellEnd"/>
    </w:p>
    <w:p w14:paraId="4F9708FC" w14:textId="23DEBF2F" w:rsidR="00F349A9" w:rsidRDefault="00F349A9" w:rsidP="00F349A9">
      <w:pPr>
        <w:rPr>
          <w:lang w:val="en-US"/>
        </w:rPr>
      </w:pPr>
      <w:r w:rsidRPr="00C70832">
        <w:rPr>
          <w:lang w:val="en-US"/>
        </w:rPr>
        <w:t xml:space="preserve">Currently, the guidelines of the SITA (Italian Society of anti-Infective Therapy) and SIP (Italian Society of Pneumology) recommend the use of the CPAP helmet (with gentle ventilation and a PEEP not exceeding 10-12 cm of H2O) or HFNC if the patient fails to respond to standard oxygen supplementation and in the absence of urgent indications for endotracheal intubation. </w:t>
      </w:r>
      <w:proofErr w:type="gramStart"/>
      <w:r w:rsidRPr="00C70832">
        <w:rPr>
          <w:lang w:val="en-US"/>
        </w:rPr>
        <w:t>Taking into account</w:t>
      </w:r>
      <w:proofErr w:type="gramEnd"/>
      <w:r w:rsidRPr="00C70832">
        <w:rPr>
          <w:lang w:val="en-US"/>
        </w:rPr>
        <w:t xml:space="preserve"> the risk of rapid deterioration by COVID 19 patients, constant monitoring is necessary in order to perform prompt tracheal intubation and mechanical ventilation in case of deterioration of clinical conditions [18].</w:t>
      </w:r>
    </w:p>
    <w:p w14:paraId="704091AC" w14:textId="77777777" w:rsidR="00F349A9" w:rsidRPr="00FD47F6" w:rsidRDefault="00F349A9" w:rsidP="00F349A9">
      <w:pPr>
        <w:rPr>
          <w:lang w:val="en-US"/>
        </w:rPr>
      </w:pPr>
      <w:r w:rsidRPr="00FD47F6">
        <w:rPr>
          <w:lang w:val="en-US"/>
        </w:rPr>
        <w:t>Finally, the current recommendations according to the NIH (National Institutes of Health) for patient</w:t>
      </w:r>
      <w:r>
        <w:rPr>
          <w:lang w:val="en-US"/>
        </w:rPr>
        <w:t>s</w:t>
      </w:r>
      <w:r w:rsidRPr="00FD47F6">
        <w:rPr>
          <w:lang w:val="en-US"/>
        </w:rPr>
        <w:t xml:space="preserve"> with COVID-19 are:</w:t>
      </w:r>
    </w:p>
    <w:p w14:paraId="78216EE3" w14:textId="77777777" w:rsidR="00F349A9" w:rsidRPr="00FD47F6" w:rsidRDefault="00F349A9" w:rsidP="00F349A9">
      <w:pPr>
        <w:rPr>
          <w:lang w:val="en-US"/>
        </w:rPr>
      </w:pPr>
      <w:r w:rsidRPr="00FD47F6">
        <w:rPr>
          <w:lang w:val="en-US"/>
        </w:rPr>
        <w:t xml:space="preserve">• For adults with COVID-19 and acute hypoxemic respiratory failure despite conventional oxygen therapy: use of high-flow nasal </w:t>
      </w:r>
      <w:proofErr w:type="spellStart"/>
      <w:r w:rsidRPr="00FD47F6">
        <w:rPr>
          <w:lang w:val="en-US"/>
        </w:rPr>
        <w:t>cannulae</w:t>
      </w:r>
      <w:proofErr w:type="spellEnd"/>
      <w:r w:rsidRPr="00FD47F6">
        <w:rPr>
          <w:lang w:val="en-US"/>
        </w:rPr>
        <w:t xml:space="preserve"> (HFNC) compared to non-invasive positive pressure ventilation (NIPPV) (BI).</w:t>
      </w:r>
    </w:p>
    <w:p w14:paraId="35A800F6" w14:textId="77777777" w:rsidR="00F349A9" w:rsidRPr="00FD47F6" w:rsidRDefault="00F349A9" w:rsidP="00F349A9">
      <w:pPr>
        <w:rPr>
          <w:lang w:val="en-US"/>
        </w:rPr>
      </w:pPr>
      <w:r w:rsidRPr="00FD47F6">
        <w:rPr>
          <w:lang w:val="en-US"/>
        </w:rPr>
        <w:t>• In the absence of an indication for endotracheal intubation: a NIPPV monitor for adults with COVID-19 and acute hypoxemic respiratory failure for which HFNC is not available (BIII).</w:t>
      </w:r>
    </w:p>
    <w:p w14:paraId="067B3AD3" w14:textId="17059B67" w:rsidR="00F349A9" w:rsidRDefault="00F349A9" w:rsidP="00F349A9">
      <w:pPr>
        <w:rPr>
          <w:lang w:val="en-US"/>
        </w:rPr>
      </w:pPr>
      <w:r w:rsidRPr="00FD47F6">
        <w:rPr>
          <w:lang w:val="en-US"/>
        </w:rPr>
        <w:t xml:space="preserve">• For adults with COVID-19 who receive supplemental oxygen: close monitoring </w:t>
      </w:r>
      <w:r>
        <w:rPr>
          <w:lang w:val="en-US"/>
        </w:rPr>
        <w:t>for detecting</w:t>
      </w:r>
      <w:r w:rsidRPr="00FD47F6">
        <w:rPr>
          <w:lang w:val="en-US"/>
        </w:rPr>
        <w:t xml:space="preserve"> worsening respiratory status and, if necessary, intubation performed by a professional expert in a controlled environment (AII).</w:t>
      </w:r>
    </w:p>
    <w:p w14:paraId="01068641" w14:textId="77777777" w:rsidR="00F349A9" w:rsidRPr="00F349A9" w:rsidRDefault="00F349A9" w:rsidP="00F349A9">
      <w:pPr>
        <w:pStyle w:val="Titolo1"/>
        <w:rPr>
          <w:rStyle w:val="Titolo1Carattere"/>
          <w:b/>
          <w:bCs/>
        </w:rPr>
      </w:pPr>
      <w:proofErr w:type="spellStart"/>
      <w:r w:rsidRPr="00F349A9">
        <w:rPr>
          <w:rStyle w:val="Titolo1Carattere"/>
          <w:b/>
          <w:bCs/>
        </w:rPr>
        <w:t>Conclusions</w:t>
      </w:r>
      <w:proofErr w:type="spellEnd"/>
    </w:p>
    <w:p w14:paraId="408C73DD" w14:textId="72592E5F" w:rsidR="00F349A9" w:rsidRDefault="00F349A9" w:rsidP="00F349A9">
      <w:pPr>
        <w:rPr>
          <w:lang w:val="en-US"/>
        </w:rPr>
      </w:pPr>
      <w:r w:rsidRPr="00C56710">
        <w:rPr>
          <w:lang w:val="en-US"/>
        </w:rPr>
        <w:t xml:space="preserve">Patients with COVID-19 frequently develop pulmonary </w:t>
      </w:r>
      <w:r w:rsidRPr="00202A4E">
        <w:rPr>
          <w:lang w:val="en-US"/>
        </w:rPr>
        <w:t>involvement</w:t>
      </w:r>
      <w:r w:rsidRPr="00C56710">
        <w:rPr>
          <w:lang w:val="en-US"/>
        </w:rPr>
        <w:t xml:space="preserve"> resulting in hypoxemic respiratory failure. Although the approach used during the pandemic is currently valid, it must be taken into account that about 20-25% of patients with COVID-19 can benefit from therapy with HFNC, NIV, CPAP or awake pronation, with possible stabilization of their respiratory status and reduction of the need for intubation. Similarly, some of the patients who, following </w:t>
      </w:r>
      <w:proofErr w:type="spellStart"/>
      <w:r w:rsidRPr="00C56710">
        <w:rPr>
          <w:lang w:val="en-US"/>
        </w:rPr>
        <w:t>extubation</w:t>
      </w:r>
      <w:proofErr w:type="spellEnd"/>
      <w:r w:rsidRPr="00C56710">
        <w:rPr>
          <w:lang w:val="en-US"/>
        </w:rPr>
        <w:t>, manifest respiratory distress or hypoxemia can be stabilized without the need for reintubation with non-invasive techniques [9].</w:t>
      </w:r>
    </w:p>
    <w:p w14:paraId="795D64D2" w14:textId="55A0DB30" w:rsidR="00F349A9" w:rsidRDefault="00F349A9" w:rsidP="00F349A9">
      <w:pPr>
        <w:rPr>
          <w:lang w:val="en-US"/>
        </w:rPr>
      </w:pPr>
      <w:r w:rsidRPr="00202A4E">
        <w:rPr>
          <w:lang w:val="en-US"/>
        </w:rPr>
        <w:t xml:space="preserve">The imperative use of protective measures and equipment is still mandatory </w:t>
      </w:r>
      <w:proofErr w:type="gramStart"/>
      <w:r w:rsidRPr="00202A4E">
        <w:rPr>
          <w:lang w:val="en-US"/>
        </w:rPr>
        <w:t>in order to</w:t>
      </w:r>
      <w:proofErr w:type="gramEnd"/>
      <w:r w:rsidRPr="00202A4E">
        <w:rPr>
          <w:lang w:val="en-US"/>
        </w:rPr>
        <w:t xml:space="preserve"> protect healthcare workers with negative pressure chambers or HEPA filters together with appropriate PPE in case of using these methods.</w:t>
      </w:r>
    </w:p>
    <w:p w14:paraId="0EF1C2D4" w14:textId="77777777" w:rsidR="00F349A9" w:rsidRPr="00F349A9" w:rsidRDefault="00F349A9" w:rsidP="00F349A9">
      <w:pPr>
        <w:pStyle w:val="Titolo1"/>
      </w:pPr>
      <w:proofErr w:type="spellStart"/>
      <w:r w:rsidRPr="00F349A9">
        <w:t>Bibliography</w:t>
      </w:r>
      <w:proofErr w:type="spellEnd"/>
    </w:p>
    <w:p w14:paraId="55E65E06" w14:textId="77777777" w:rsidR="00F349A9" w:rsidRPr="00F349A9" w:rsidRDefault="00F349A9" w:rsidP="00F349A9">
      <w:pPr>
        <w:pStyle w:val="Paragrafoelenco"/>
        <w:numPr>
          <w:ilvl w:val="0"/>
          <w:numId w:val="13"/>
        </w:numPr>
        <w:jc w:val="left"/>
        <w:rPr>
          <w:sz w:val="18"/>
          <w:szCs w:val="18"/>
          <w:lang w:val="en-US"/>
        </w:rPr>
      </w:pPr>
      <w:r w:rsidRPr="00F349A9">
        <w:rPr>
          <w:sz w:val="14"/>
          <w:szCs w:val="14"/>
          <w:lang w:val="en-US"/>
        </w:rPr>
        <w:t xml:space="preserve">Wang D., Hu B., Hu C. Clinical characteristics of 138 hospitalized patients with 2019 novel coronavirus-infected pneumonia in Wuhan, China. JAMA. 2020;323(11):1061–1069. </w:t>
      </w:r>
    </w:p>
    <w:p w14:paraId="3D7ECEEB" w14:textId="77777777" w:rsidR="00F349A9" w:rsidRPr="00F349A9" w:rsidRDefault="00F349A9" w:rsidP="00F349A9">
      <w:pPr>
        <w:pStyle w:val="Paragrafoelenco"/>
        <w:numPr>
          <w:ilvl w:val="0"/>
          <w:numId w:val="13"/>
        </w:numPr>
        <w:jc w:val="left"/>
        <w:rPr>
          <w:sz w:val="18"/>
          <w:szCs w:val="18"/>
          <w:lang w:val="en-US"/>
        </w:rPr>
      </w:pPr>
      <w:proofErr w:type="spellStart"/>
      <w:r w:rsidRPr="00F349A9">
        <w:rPr>
          <w:sz w:val="14"/>
          <w:szCs w:val="14"/>
          <w:lang w:val="en-US"/>
        </w:rPr>
        <w:t>Grasselli</w:t>
      </w:r>
      <w:proofErr w:type="spellEnd"/>
      <w:r w:rsidRPr="00F349A9">
        <w:rPr>
          <w:sz w:val="14"/>
          <w:szCs w:val="14"/>
          <w:lang w:val="en-US"/>
        </w:rPr>
        <w:t xml:space="preserve"> G., </w:t>
      </w:r>
      <w:proofErr w:type="spellStart"/>
      <w:r w:rsidRPr="00F349A9">
        <w:rPr>
          <w:sz w:val="14"/>
          <w:szCs w:val="14"/>
          <w:lang w:val="en-US"/>
        </w:rPr>
        <w:t>Zangrillo</w:t>
      </w:r>
      <w:proofErr w:type="spellEnd"/>
      <w:r w:rsidRPr="00F349A9">
        <w:rPr>
          <w:sz w:val="14"/>
          <w:szCs w:val="14"/>
          <w:lang w:val="en-US"/>
        </w:rPr>
        <w:t xml:space="preserve"> A., </w:t>
      </w:r>
      <w:proofErr w:type="spellStart"/>
      <w:r w:rsidRPr="00F349A9">
        <w:rPr>
          <w:sz w:val="14"/>
          <w:szCs w:val="14"/>
          <w:lang w:val="en-US"/>
        </w:rPr>
        <w:t>Zanella</w:t>
      </w:r>
      <w:proofErr w:type="spellEnd"/>
      <w:r w:rsidRPr="00F349A9">
        <w:rPr>
          <w:sz w:val="14"/>
          <w:szCs w:val="14"/>
          <w:lang w:val="en-US"/>
        </w:rPr>
        <w:t xml:space="preserve"> A. Baseline characteristics and outcomes of 1591 patients infected with SARS-CoV-2 admitted to ICUs of the Lombardy region, </w:t>
      </w:r>
      <w:proofErr w:type="spellStart"/>
      <w:r w:rsidRPr="00F349A9">
        <w:rPr>
          <w:sz w:val="14"/>
          <w:szCs w:val="14"/>
          <w:lang w:val="en-US"/>
        </w:rPr>
        <w:t>Ita-ly</w:t>
      </w:r>
      <w:proofErr w:type="spellEnd"/>
      <w:r w:rsidRPr="00F349A9">
        <w:rPr>
          <w:sz w:val="14"/>
          <w:szCs w:val="14"/>
          <w:lang w:val="en-US"/>
        </w:rPr>
        <w:t>. JAMA. 2020;323(16):1574–1581.</w:t>
      </w:r>
    </w:p>
    <w:p w14:paraId="7B12302C" w14:textId="77777777" w:rsidR="00F349A9" w:rsidRPr="00F349A9" w:rsidRDefault="00F349A9" w:rsidP="00F349A9">
      <w:pPr>
        <w:pStyle w:val="Paragrafoelenco"/>
        <w:numPr>
          <w:ilvl w:val="0"/>
          <w:numId w:val="13"/>
        </w:numPr>
        <w:jc w:val="left"/>
        <w:rPr>
          <w:sz w:val="18"/>
          <w:szCs w:val="18"/>
          <w:lang w:val="en-US"/>
        </w:rPr>
      </w:pPr>
      <w:r w:rsidRPr="00F349A9">
        <w:rPr>
          <w:sz w:val="14"/>
          <w:szCs w:val="14"/>
          <w:lang w:val="en-US"/>
        </w:rPr>
        <w:t xml:space="preserve">Marini J.J., </w:t>
      </w:r>
      <w:proofErr w:type="spellStart"/>
      <w:r w:rsidRPr="00F349A9">
        <w:rPr>
          <w:sz w:val="14"/>
          <w:szCs w:val="14"/>
          <w:lang w:val="en-US"/>
        </w:rPr>
        <w:t>Gattinoni</w:t>
      </w:r>
      <w:proofErr w:type="spellEnd"/>
      <w:r w:rsidRPr="00F349A9">
        <w:rPr>
          <w:sz w:val="14"/>
          <w:szCs w:val="14"/>
          <w:lang w:val="en-US"/>
        </w:rPr>
        <w:t xml:space="preserve"> L. Management of COVID-19 respiratory dis-tress. JAMA. 2020;323(22):2329–2330. </w:t>
      </w:r>
    </w:p>
    <w:p w14:paraId="0FB3E4EF" w14:textId="77777777" w:rsidR="00F349A9" w:rsidRPr="00F349A9" w:rsidRDefault="00F349A9" w:rsidP="00F349A9">
      <w:pPr>
        <w:pStyle w:val="Paragrafoelenco"/>
        <w:numPr>
          <w:ilvl w:val="0"/>
          <w:numId w:val="13"/>
        </w:numPr>
        <w:jc w:val="left"/>
        <w:rPr>
          <w:sz w:val="18"/>
          <w:szCs w:val="18"/>
          <w:lang w:val="en-US"/>
        </w:rPr>
      </w:pPr>
      <w:proofErr w:type="spellStart"/>
      <w:r w:rsidRPr="00F349A9">
        <w:rPr>
          <w:sz w:val="14"/>
          <w:szCs w:val="14"/>
          <w:lang w:val="en-US"/>
        </w:rPr>
        <w:t>Nourdine</w:t>
      </w:r>
      <w:proofErr w:type="spellEnd"/>
      <w:r w:rsidRPr="00F349A9">
        <w:rPr>
          <w:sz w:val="14"/>
          <w:szCs w:val="14"/>
          <w:lang w:val="en-US"/>
        </w:rPr>
        <w:t xml:space="preserve"> K., Combes P., Carton M.J., </w:t>
      </w:r>
      <w:proofErr w:type="spellStart"/>
      <w:r w:rsidRPr="00F349A9">
        <w:rPr>
          <w:sz w:val="14"/>
          <w:szCs w:val="14"/>
          <w:lang w:val="en-US"/>
        </w:rPr>
        <w:t>Beuret</w:t>
      </w:r>
      <w:proofErr w:type="spellEnd"/>
      <w:r w:rsidRPr="00F349A9">
        <w:rPr>
          <w:sz w:val="14"/>
          <w:szCs w:val="14"/>
          <w:lang w:val="en-US"/>
        </w:rPr>
        <w:t xml:space="preserve"> P., </w:t>
      </w:r>
      <w:proofErr w:type="spellStart"/>
      <w:r w:rsidRPr="00F349A9">
        <w:rPr>
          <w:sz w:val="14"/>
          <w:szCs w:val="14"/>
          <w:lang w:val="en-US"/>
        </w:rPr>
        <w:t>Cannamela</w:t>
      </w:r>
      <w:proofErr w:type="spellEnd"/>
      <w:r w:rsidRPr="00F349A9">
        <w:rPr>
          <w:sz w:val="14"/>
          <w:szCs w:val="14"/>
          <w:lang w:val="en-US"/>
        </w:rPr>
        <w:t xml:space="preserve"> A., </w:t>
      </w:r>
      <w:proofErr w:type="spellStart"/>
      <w:r w:rsidRPr="00F349A9">
        <w:rPr>
          <w:sz w:val="14"/>
          <w:szCs w:val="14"/>
          <w:lang w:val="en-US"/>
        </w:rPr>
        <w:t>Ducreux</w:t>
      </w:r>
      <w:proofErr w:type="spellEnd"/>
      <w:r w:rsidRPr="00F349A9">
        <w:rPr>
          <w:sz w:val="14"/>
          <w:szCs w:val="14"/>
          <w:lang w:val="en-US"/>
        </w:rPr>
        <w:t xml:space="preserve"> J.C. Does noninvasive ventilation reduce the ICU nosocomial infection risk? A prospective clinical survey. Intensive Care Med. 1999;25(6):567–573.</w:t>
      </w:r>
    </w:p>
    <w:p w14:paraId="3AB5A010" w14:textId="77777777" w:rsidR="00F349A9" w:rsidRPr="00F349A9" w:rsidRDefault="00F349A9" w:rsidP="00F349A9">
      <w:pPr>
        <w:pStyle w:val="Paragrafoelenco"/>
        <w:numPr>
          <w:ilvl w:val="0"/>
          <w:numId w:val="13"/>
        </w:numPr>
        <w:jc w:val="left"/>
        <w:rPr>
          <w:sz w:val="18"/>
          <w:szCs w:val="18"/>
          <w:lang w:val="en-US"/>
        </w:rPr>
      </w:pPr>
      <w:proofErr w:type="spellStart"/>
      <w:r w:rsidRPr="00F349A9">
        <w:rPr>
          <w:sz w:val="14"/>
          <w:szCs w:val="14"/>
          <w:lang w:val="en-US"/>
        </w:rPr>
        <w:t>Spoletini</w:t>
      </w:r>
      <w:proofErr w:type="spellEnd"/>
      <w:r w:rsidRPr="00F349A9">
        <w:rPr>
          <w:sz w:val="14"/>
          <w:szCs w:val="14"/>
          <w:lang w:val="en-US"/>
        </w:rPr>
        <w:t xml:space="preserve"> G., Alotaibi M., Blasi F., Hill N.S. Heated humidified high-flow nasal oxygen in adults: mechanisms of action and clinical implications. Chest. 2015;148(1):253–261.</w:t>
      </w:r>
    </w:p>
    <w:p w14:paraId="0D322A50" w14:textId="77777777" w:rsidR="00F349A9" w:rsidRPr="00F349A9" w:rsidRDefault="00F349A9" w:rsidP="00F349A9">
      <w:pPr>
        <w:pStyle w:val="Paragrafoelenco"/>
        <w:numPr>
          <w:ilvl w:val="0"/>
          <w:numId w:val="13"/>
        </w:numPr>
        <w:jc w:val="left"/>
        <w:rPr>
          <w:sz w:val="18"/>
          <w:szCs w:val="18"/>
          <w:lang w:val="en-US"/>
        </w:rPr>
      </w:pPr>
      <w:r w:rsidRPr="00F349A9">
        <w:rPr>
          <w:sz w:val="14"/>
          <w:szCs w:val="14"/>
          <w:lang w:val="en-US"/>
        </w:rPr>
        <w:t>Roca O., Hernández G., Díaz-Lobato S., Spanish Multidisciplinary Group of High Flow Support-</w:t>
      </w:r>
      <w:proofErr w:type="spellStart"/>
      <w:r w:rsidRPr="00F349A9">
        <w:rPr>
          <w:sz w:val="14"/>
          <w:szCs w:val="14"/>
          <w:lang w:val="en-US"/>
        </w:rPr>
        <w:t>ive</w:t>
      </w:r>
      <w:proofErr w:type="spellEnd"/>
      <w:r w:rsidRPr="00F349A9">
        <w:rPr>
          <w:sz w:val="14"/>
          <w:szCs w:val="14"/>
          <w:lang w:val="en-US"/>
        </w:rPr>
        <w:t xml:space="preserve"> Therapy in Adults (</w:t>
      </w:r>
      <w:proofErr w:type="spellStart"/>
      <w:r w:rsidRPr="00F349A9">
        <w:rPr>
          <w:sz w:val="14"/>
          <w:szCs w:val="14"/>
          <w:lang w:val="en-US"/>
        </w:rPr>
        <w:t>HiSpaFlow</w:t>
      </w:r>
      <w:proofErr w:type="spellEnd"/>
      <w:r w:rsidRPr="00F349A9">
        <w:rPr>
          <w:sz w:val="14"/>
          <w:szCs w:val="14"/>
          <w:lang w:val="en-US"/>
        </w:rPr>
        <w:t>) Current evidence for the effectiveness of heated and humidified high flow nasal cannula supportive therapy in adult patients with respiratory failure. Crit Care. 2016;20(1):109.</w:t>
      </w:r>
    </w:p>
    <w:p w14:paraId="058B4E57" w14:textId="77777777" w:rsidR="00F349A9" w:rsidRPr="00F349A9" w:rsidRDefault="00F349A9" w:rsidP="00F349A9">
      <w:pPr>
        <w:pStyle w:val="Paragrafoelenco"/>
        <w:numPr>
          <w:ilvl w:val="0"/>
          <w:numId w:val="13"/>
        </w:numPr>
        <w:jc w:val="left"/>
        <w:rPr>
          <w:sz w:val="18"/>
          <w:szCs w:val="18"/>
          <w:lang w:val="en-US"/>
        </w:rPr>
      </w:pPr>
      <w:r w:rsidRPr="00F349A9">
        <w:rPr>
          <w:sz w:val="14"/>
          <w:szCs w:val="14"/>
          <w:lang w:val="en-US"/>
        </w:rPr>
        <w:t xml:space="preserve">Roca O., </w:t>
      </w:r>
      <w:proofErr w:type="spellStart"/>
      <w:r w:rsidRPr="00F349A9">
        <w:rPr>
          <w:sz w:val="14"/>
          <w:szCs w:val="14"/>
          <w:lang w:val="en-US"/>
        </w:rPr>
        <w:t>Riera</w:t>
      </w:r>
      <w:proofErr w:type="spellEnd"/>
      <w:r w:rsidRPr="00F349A9">
        <w:rPr>
          <w:sz w:val="14"/>
          <w:szCs w:val="14"/>
          <w:lang w:val="en-US"/>
        </w:rPr>
        <w:t xml:space="preserve"> J., Torres F., </w:t>
      </w:r>
      <w:proofErr w:type="spellStart"/>
      <w:r w:rsidRPr="00F349A9">
        <w:rPr>
          <w:sz w:val="14"/>
          <w:szCs w:val="14"/>
          <w:lang w:val="en-US"/>
        </w:rPr>
        <w:t>Masclans</w:t>
      </w:r>
      <w:proofErr w:type="spellEnd"/>
      <w:r w:rsidRPr="00F349A9">
        <w:rPr>
          <w:sz w:val="14"/>
          <w:szCs w:val="14"/>
          <w:lang w:val="en-US"/>
        </w:rPr>
        <w:t xml:space="preserve"> J.R. High-flow oxygen therapy in acute respiratory fail-</w:t>
      </w:r>
      <w:proofErr w:type="spellStart"/>
      <w:r w:rsidRPr="00F349A9">
        <w:rPr>
          <w:sz w:val="14"/>
          <w:szCs w:val="14"/>
          <w:lang w:val="en-US"/>
        </w:rPr>
        <w:t>ure</w:t>
      </w:r>
      <w:proofErr w:type="spellEnd"/>
      <w:r w:rsidRPr="00F349A9">
        <w:rPr>
          <w:sz w:val="14"/>
          <w:szCs w:val="14"/>
          <w:lang w:val="en-US"/>
        </w:rPr>
        <w:t>. Respir Care. 2010;55(4):408–413.</w:t>
      </w:r>
    </w:p>
    <w:p w14:paraId="17FD5A73" w14:textId="77777777" w:rsidR="00F349A9" w:rsidRPr="00F349A9" w:rsidRDefault="00F349A9" w:rsidP="00F349A9">
      <w:pPr>
        <w:pStyle w:val="Paragrafoelenco"/>
        <w:numPr>
          <w:ilvl w:val="0"/>
          <w:numId w:val="13"/>
        </w:numPr>
        <w:jc w:val="left"/>
        <w:rPr>
          <w:sz w:val="18"/>
          <w:szCs w:val="18"/>
          <w:lang w:val="en-US"/>
        </w:rPr>
      </w:pPr>
      <w:r w:rsidRPr="00F349A9">
        <w:rPr>
          <w:sz w:val="14"/>
          <w:szCs w:val="14"/>
          <w:lang w:val="en-US"/>
        </w:rPr>
        <w:t xml:space="preserve">Frat J.P., </w:t>
      </w:r>
      <w:proofErr w:type="spellStart"/>
      <w:r w:rsidRPr="00F349A9">
        <w:rPr>
          <w:sz w:val="14"/>
          <w:szCs w:val="14"/>
          <w:lang w:val="en-US"/>
        </w:rPr>
        <w:t>Thille</w:t>
      </w:r>
      <w:proofErr w:type="spellEnd"/>
      <w:r w:rsidRPr="00F349A9">
        <w:rPr>
          <w:sz w:val="14"/>
          <w:szCs w:val="14"/>
          <w:lang w:val="en-US"/>
        </w:rPr>
        <w:t xml:space="preserve"> A.W., </w:t>
      </w:r>
      <w:proofErr w:type="spellStart"/>
      <w:r w:rsidRPr="00F349A9">
        <w:rPr>
          <w:sz w:val="14"/>
          <w:szCs w:val="14"/>
          <w:lang w:val="en-US"/>
        </w:rPr>
        <w:t>Mercat</w:t>
      </w:r>
      <w:proofErr w:type="spellEnd"/>
      <w:r w:rsidRPr="00F349A9">
        <w:rPr>
          <w:sz w:val="14"/>
          <w:szCs w:val="14"/>
          <w:lang w:val="en-US"/>
        </w:rPr>
        <w:t xml:space="preserve"> A., FLORALI Study Group; REVA Network High-flow oxygen through nasal cannula in acute hypoxemic respiratory failure. N </w:t>
      </w:r>
      <w:proofErr w:type="spellStart"/>
      <w:r w:rsidRPr="00F349A9">
        <w:rPr>
          <w:sz w:val="14"/>
          <w:szCs w:val="14"/>
          <w:lang w:val="en-US"/>
        </w:rPr>
        <w:t>Engl</w:t>
      </w:r>
      <w:proofErr w:type="spellEnd"/>
      <w:r w:rsidRPr="00F349A9">
        <w:rPr>
          <w:sz w:val="14"/>
          <w:szCs w:val="14"/>
          <w:lang w:val="en-US"/>
        </w:rPr>
        <w:t xml:space="preserve"> J Med. 2015;372(23):2185–2196.</w:t>
      </w:r>
    </w:p>
    <w:p w14:paraId="7DC75BEC" w14:textId="421A4871" w:rsidR="00F349A9" w:rsidRPr="00F349A9" w:rsidRDefault="002F7156" w:rsidP="00F349A9">
      <w:pPr>
        <w:pStyle w:val="Paragrafoelenco"/>
        <w:numPr>
          <w:ilvl w:val="0"/>
          <w:numId w:val="13"/>
        </w:numPr>
        <w:jc w:val="left"/>
        <w:rPr>
          <w:sz w:val="18"/>
          <w:szCs w:val="18"/>
          <w:lang w:val="en-US"/>
        </w:rPr>
      </w:pPr>
      <w:hyperlink r:id="rId8" w:history="1">
        <w:r w:rsidR="00F349A9" w:rsidRPr="001D7FC0">
          <w:rPr>
            <w:rStyle w:val="Collegamentoipertestuale"/>
            <w:sz w:val="14"/>
            <w:szCs w:val="14"/>
            <w:lang w:val="en-US"/>
          </w:rPr>
          <w:t>https://www-ncbi-nlm-nih-gov.ezproxy.unibo.it/pmc/articles/PMC7362846/</w:t>
        </w:r>
      </w:hyperlink>
    </w:p>
    <w:p w14:paraId="4DA02844" w14:textId="369C91ED" w:rsidR="00F349A9" w:rsidRPr="00F349A9" w:rsidRDefault="002F7156" w:rsidP="00F349A9">
      <w:pPr>
        <w:pStyle w:val="Paragrafoelenco"/>
        <w:numPr>
          <w:ilvl w:val="0"/>
          <w:numId w:val="13"/>
        </w:numPr>
        <w:jc w:val="left"/>
        <w:rPr>
          <w:sz w:val="18"/>
          <w:szCs w:val="18"/>
          <w:lang w:val="en-US"/>
        </w:rPr>
      </w:pPr>
      <w:hyperlink r:id="rId9" w:history="1">
        <w:r w:rsidR="00F349A9" w:rsidRPr="001D7FC0">
          <w:rPr>
            <w:rStyle w:val="Collegamentoipertestuale"/>
            <w:sz w:val="14"/>
            <w:szCs w:val="14"/>
            <w:lang w:val="en-US"/>
          </w:rPr>
          <w:t>https://pubmed-ncbi-nlm-nih-gov.ezproxy.unibo.it/31455561/</w:t>
        </w:r>
      </w:hyperlink>
    </w:p>
    <w:p w14:paraId="16C45045" w14:textId="4D71D6E7" w:rsidR="00F349A9" w:rsidRPr="00F349A9" w:rsidRDefault="002F7156" w:rsidP="00F349A9">
      <w:pPr>
        <w:pStyle w:val="Paragrafoelenco"/>
        <w:numPr>
          <w:ilvl w:val="0"/>
          <w:numId w:val="13"/>
        </w:numPr>
        <w:jc w:val="left"/>
        <w:rPr>
          <w:sz w:val="18"/>
          <w:szCs w:val="18"/>
          <w:lang w:val="en-US"/>
        </w:rPr>
      </w:pPr>
      <w:hyperlink r:id="rId10" w:history="1">
        <w:r w:rsidR="00F349A9" w:rsidRPr="001D7FC0">
          <w:rPr>
            <w:rStyle w:val="Collegamentoipertestuale"/>
            <w:sz w:val="14"/>
            <w:szCs w:val="14"/>
            <w:lang w:val="en-US"/>
          </w:rPr>
          <w:t>https://pubmed-ncbi-nlm-nih-gov.ezproxy.unibo.it/32587703/</w:t>
        </w:r>
      </w:hyperlink>
    </w:p>
    <w:p w14:paraId="6C7FB551" w14:textId="77777777" w:rsidR="00F349A9" w:rsidRPr="00F349A9" w:rsidRDefault="00F349A9" w:rsidP="00F349A9">
      <w:pPr>
        <w:pStyle w:val="Paragrafoelenco"/>
        <w:numPr>
          <w:ilvl w:val="0"/>
          <w:numId w:val="13"/>
        </w:numPr>
        <w:jc w:val="left"/>
        <w:rPr>
          <w:sz w:val="18"/>
          <w:szCs w:val="18"/>
          <w:lang w:val="en-US"/>
        </w:rPr>
      </w:pPr>
      <w:r w:rsidRPr="00F349A9">
        <w:rPr>
          <w:sz w:val="14"/>
          <w:szCs w:val="14"/>
          <w:lang w:val="en-US"/>
        </w:rPr>
        <w:t xml:space="preserve">Yang X., Yu Y., Xu J. Clinical </w:t>
      </w:r>
      <w:proofErr w:type="gramStart"/>
      <w:r w:rsidRPr="00F349A9">
        <w:rPr>
          <w:sz w:val="14"/>
          <w:szCs w:val="14"/>
          <w:lang w:val="en-US"/>
        </w:rPr>
        <w:t>course</w:t>
      </w:r>
      <w:proofErr w:type="gramEnd"/>
      <w:r w:rsidRPr="00F349A9">
        <w:rPr>
          <w:sz w:val="14"/>
          <w:szCs w:val="14"/>
          <w:lang w:val="en-US"/>
        </w:rPr>
        <w:t xml:space="preserve"> and outcomes of critically ill patients with SARS-CoV-2 pneumonia in Wuhan, China: a single-centered, retrospective, observational study. Lancet Respir Med. 2020;8(5</w:t>
      </w:r>
      <w:proofErr w:type="gramStart"/>
      <w:r w:rsidRPr="00F349A9">
        <w:rPr>
          <w:sz w:val="14"/>
          <w:szCs w:val="14"/>
          <w:lang w:val="en-US"/>
        </w:rPr>
        <w:t>):P</w:t>
      </w:r>
      <w:proofErr w:type="gramEnd"/>
      <w:r w:rsidRPr="00F349A9">
        <w:rPr>
          <w:sz w:val="14"/>
          <w:szCs w:val="14"/>
          <w:lang w:val="en-US"/>
        </w:rPr>
        <w:t>475–P481.</w:t>
      </w:r>
    </w:p>
    <w:p w14:paraId="52AD8F98" w14:textId="77777777" w:rsidR="00F349A9" w:rsidRPr="00F349A9" w:rsidRDefault="00F349A9" w:rsidP="00F349A9">
      <w:pPr>
        <w:pStyle w:val="Paragrafoelenco"/>
        <w:numPr>
          <w:ilvl w:val="0"/>
          <w:numId w:val="13"/>
        </w:numPr>
        <w:jc w:val="left"/>
        <w:rPr>
          <w:sz w:val="18"/>
          <w:szCs w:val="18"/>
          <w:lang w:val="en-US"/>
        </w:rPr>
      </w:pPr>
      <w:proofErr w:type="spellStart"/>
      <w:r w:rsidRPr="00F349A9">
        <w:rPr>
          <w:sz w:val="14"/>
          <w:szCs w:val="14"/>
          <w:lang w:val="en-US"/>
        </w:rPr>
        <w:t>Vitacca</w:t>
      </w:r>
      <w:proofErr w:type="spellEnd"/>
      <w:r w:rsidRPr="00F349A9">
        <w:rPr>
          <w:sz w:val="14"/>
          <w:szCs w:val="14"/>
          <w:lang w:val="en-US"/>
        </w:rPr>
        <w:t xml:space="preserve"> M., Nava S., </w:t>
      </w:r>
      <w:proofErr w:type="spellStart"/>
      <w:r w:rsidRPr="00F349A9">
        <w:rPr>
          <w:sz w:val="14"/>
          <w:szCs w:val="14"/>
          <w:lang w:val="en-US"/>
        </w:rPr>
        <w:t>Santus</w:t>
      </w:r>
      <w:proofErr w:type="spellEnd"/>
      <w:r w:rsidRPr="00F349A9">
        <w:rPr>
          <w:sz w:val="14"/>
          <w:szCs w:val="14"/>
          <w:lang w:val="en-US"/>
        </w:rPr>
        <w:t xml:space="preserve"> P., Harari S. Early consensus management for non-ICU acute respiratory failure SARS-CoV-2 emergency in Italy: from ward to trenches. Eur Respir J. 2020;55(5):2000632.</w:t>
      </w:r>
    </w:p>
    <w:p w14:paraId="58155E64" w14:textId="77777777" w:rsidR="00F349A9" w:rsidRPr="00F349A9" w:rsidRDefault="00F349A9" w:rsidP="00F349A9">
      <w:pPr>
        <w:pStyle w:val="Paragrafoelenco"/>
        <w:numPr>
          <w:ilvl w:val="0"/>
          <w:numId w:val="13"/>
        </w:numPr>
        <w:jc w:val="left"/>
        <w:rPr>
          <w:sz w:val="18"/>
          <w:szCs w:val="18"/>
          <w:lang w:val="en-US"/>
        </w:rPr>
      </w:pPr>
      <w:r w:rsidRPr="00F349A9">
        <w:rPr>
          <w:sz w:val="14"/>
          <w:szCs w:val="14"/>
          <w:lang w:val="en-US"/>
        </w:rPr>
        <w:t>Italian Thoracic Society (AIPO); Italian Respiratory Society (SIP). Managing the Respiratory Care of Patients With COVID-19. March 8, 2020.</w:t>
      </w:r>
    </w:p>
    <w:p w14:paraId="5E67BFFC" w14:textId="77777777" w:rsidR="00F349A9" w:rsidRPr="00F349A9" w:rsidRDefault="00F349A9" w:rsidP="00F349A9">
      <w:pPr>
        <w:pStyle w:val="Paragrafoelenco"/>
        <w:numPr>
          <w:ilvl w:val="0"/>
          <w:numId w:val="13"/>
        </w:numPr>
        <w:jc w:val="left"/>
        <w:rPr>
          <w:sz w:val="18"/>
          <w:szCs w:val="18"/>
          <w:lang w:val="en-US"/>
        </w:rPr>
      </w:pPr>
      <w:proofErr w:type="spellStart"/>
      <w:r w:rsidRPr="00F349A9">
        <w:rPr>
          <w:sz w:val="14"/>
          <w:szCs w:val="14"/>
          <w:lang w:val="en-US"/>
        </w:rPr>
        <w:t>Ferioli</w:t>
      </w:r>
      <w:proofErr w:type="spellEnd"/>
      <w:r w:rsidRPr="00F349A9">
        <w:rPr>
          <w:sz w:val="14"/>
          <w:szCs w:val="14"/>
          <w:lang w:val="en-US"/>
        </w:rPr>
        <w:t xml:space="preserve"> M., </w:t>
      </w:r>
      <w:proofErr w:type="spellStart"/>
      <w:r w:rsidRPr="00F349A9">
        <w:rPr>
          <w:sz w:val="14"/>
          <w:szCs w:val="14"/>
          <w:lang w:val="en-US"/>
        </w:rPr>
        <w:t>Cisternino</w:t>
      </w:r>
      <w:proofErr w:type="spellEnd"/>
      <w:r w:rsidRPr="00F349A9">
        <w:rPr>
          <w:sz w:val="14"/>
          <w:szCs w:val="14"/>
          <w:lang w:val="en-US"/>
        </w:rPr>
        <w:t xml:space="preserve"> C., Leo V., Pisani L., </w:t>
      </w:r>
      <w:proofErr w:type="spellStart"/>
      <w:r w:rsidRPr="00F349A9">
        <w:rPr>
          <w:sz w:val="14"/>
          <w:szCs w:val="14"/>
          <w:lang w:val="en-US"/>
        </w:rPr>
        <w:t>Palange</w:t>
      </w:r>
      <w:proofErr w:type="spellEnd"/>
      <w:r w:rsidRPr="00F349A9">
        <w:rPr>
          <w:sz w:val="14"/>
          <w:szCs w:val="14"/>
          <w:lang w:val="en-US"/>
        </w:rPr>
        <w:t xml:space="preserve"> P., Nava S. Protecting healthcare workers from SARS-CoV-2 infection: practical indications. Eur Respir J. 2020;29(155):200068. </w:t>
      </w:r>
    </w:p>
    <w:p w14:paraId="3ECCC861" w14:textId="284FD7DB" w:rsidR="00F349A9" w:rsidRPr="00F349A9" w:rsidRDefault="002F7156" w:rsidP="00F349A9">
      <w:pPr>
        <w:pStyle w:val="Paragrafoelenco"/>
        <w:numPr>
          <w:ilvl w:val="0"/>
          <w:numId w:val="13"/>
        </w:numPr>
        <w:jc w:val="left"/>
        <w:rPr>
          <w:sz w:val="18"/>
          <w:szCs w:val="18"/>
          <w:lang w:val="en-US"/>
        </w:rPr>
      </w:pPr>
      <w:hyperlink r:id="rId11" w:history="1">
        <w:r w:rsidR="00F349A9" w:rsidRPr="001D7FC0">
          <w:rPr>
            <w:rStyle w:val="Collegamentoipertestuale"/>
            <w:sz w:val="14"/>
            <w:szCs w:val="14"/>
            <w:lang w:val="en-US"/>
          </w:rPr>
          <w:t>https://www-ncbi-nlm-nih-gov.ezproxy.unibo.it/pmc/articles/PMC7397952/</w:t>
        </w:r>
      </w:hyperlink>
    </w:p>
    <w:p w14:paraId="5EAFB6A5" w14:textId="77777777" w:rsidR="00F349A9" w:rsidRPr="00F349A9" w:rsidRDefault="00F349A9" w:rsidP="00F349A9">
      <w:pPr>
        <w:pStyle w:val="Paragrafoelenco"/>
        <w:numPr>
          <w:ilvl w:val="0"/>
          <w:numId w:val="13"/>
        </w:numPr>
        <w:jc w:val="left"/>
        <w:rPr>
          <w:sz w:val="18"/>
          <w:szCs w:val="18"/>
          <w:lang w:val="en-US"/>
        </w:rPr>
      </w:pPr>
      <w:r w:rsidRPr="00F349A9">
        <w:rPr>
          <w:sz w:val="14"/>
          <w:szCs w:val="14"/>
          <w:lang w:val="en-US"/>
        </w:rPr>
        <w:t>World Health Organization Clinical management of severe acute respiratory infection (SARI) when COVID-19 disease is suspected. Interim guidance - 13 March 2020 www.who.int Date last accessed: May 22, 2020.</w:t>
      </w:r>
    </w:p>
    <w:p w14:paraId="6BCC0047" w14:textId="52F6BCA4" w:rsidR="00F349A9" w:rsidRPr="00F349A9" w:rsidRDefault="00F349A9" w:rsidP="00F349A9">
      <w:pPr>
        <w:pStyle w:val="Paragrafoelenco"/>
        <w:numPr>
          <w:ilvl w:val="0"/>
          <w:numId w:val="13"/>
        </w:numPr>
        <w:jc w:val="left"/>
        <w:rPr>
          <w:sz w:val="18"/>
          <w:szCs w:val="18"/>
          <w:lang w:val="en-US"/>
        </w:rPr>
      </w:pPr>
      <w:r w:rsidRPr="00F349A9">
        <w:rPr>
          <w:sz w:val="14"/>
          <w:szCs w:val="14"/>
          <w:lang w:val="en-US"/>
        </w:rPr>
        <w:t>https://www-ncbi-nlm-nih-gov.ezproxy.unibo.it/pmc/articles/PMC7195088</w:t>
      </w:r>
      <w:r w:rsidRPr="00F349A9">
        <w:rPr>
          <w:sz w:val="18"/>
          <w:szCs w:val="18"/>
          <w:lang w:val="en-US"/>
        </w:rPr>
        <w:t>/</w:t>
      </w:r>
    </w:p>
    <w:p w14:paraId="0C3385A7" w14:textId="77777777" w:rsidR="00F349A9" w:rsidRPr="00202A4E" w:rsidRDefault="00F349A9" w:rsidP="00F349A9">
      <w:pPr>
        <w:rPr>
          <w:noProof/>
          <w:lang w:val="en-US"/>
        </w:rPr>
      </w:pPr>
    </w:p>
    <w:p w14:paraId="2F9B13D6" w14:textId="77777777" w:rsidR="00F349A9" w:rsidRPr="00202A4E" w:rsidRDefault="00F349A9" w:rsidP="00F349A9">
      <w:pPr>
        <w:rPr>
          <w:noProof/>
          <w:lang w:val="en-US"/>
        </w:rPr>
      </w:pPr>
    </w:p>
    <w:p w14:paraId="6B54CD1C" w14:textId="77777777" w:rsidR="00F349A9" w:rsidRPr="00202A4E" w:rsidRDefault="00F349A9" w:rsidP="00F349A9">
      <w:pPr>
        <w:rPr>
          <w:noProof/>
          <w:lang w:val="en-US"/>
        </w:rPr>
      </w:pPr>
    </w:p>
    <w:p w14:paraId="2F4D993E" w14:textId="77777777" w:rsidR="00F349A9" w:rsidRDefault="00F349A9" w:rsidP="00F349A9">
      <w:pPr>
        <w:rPr>
          <w:lang w:val="en-US"/>
        </w:rPr>
      </w:pPr>
      <w:r>
        <w:rPr>
          <w:noProof/>
          <w:lang w:val="en-US"/>
        </w:rPr>
        <w:drawing>
          <wp:inline distT="0" distB="0" distL="0" distR="0" wp14:anchorId="163046EC" wp14:editId="551D8C52">
            <wp:extent cx="5743977" cy="5384980"/>
            <wp:effectExtent l="0" t="0" r="9525"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0673" cy="5410007"/>
                    </a:xfrm>
                    <a:prstGeom prst="rect">
                      <a:avLst/>
                    </a:prstGeom>
                    <a:noFill/>
                    <a:ln>
                      <a:noFill/>
                    </a:ln>
                  </pic:spPr>
                </pic:pic>
              </a:graphicData>
            </a:graphic>
          </wp:inline>
        </w:drawing>
      </w:r>
    </w:p>
    <w:p w14:paraId="4EFCB2EB" w14:textId="77777777" w:rsidR="00F349A9" w:rsidRDefault="00F349A9" w:rsidP="00F349A9">
      <w:pPr>
        <w:rPr>
          <w:lang w:val="en-US"/>
        </w:rPr>
      </w:pPr>
    </w:p>
    <w:p w14:paraId="4F68C194" w14:textId="77777777" w:rsidR="00F349A9" w:rsidRDefault="00F349A9" w:rsidP="00F349A9">
      <w:pPr>
        <w:rPr>
          <w:lang w:val="en-US"/>
        </w:rPr>
      </w:pPr>
    </w:p>
    <w:p w14:paraId="00D72D4D" w14:textId="77777777" w:rsidR="00F349A9" w:rsidRDefault="00F349A9" w:rsidP="00F349A9">
      <w:pPr>
        <w:rPr>
          <w:lang w:val="en-US"/>
        </w:rPr>
      </w:pPr>
    </w:p>
    <w:p w14:paraId="59F190FA" w14:textId="77777777" w:rsidR="00F349A9" w:rsidRDefault="00F349A9" w:rsidP="00F349A9">
      <w:pPr>
        <w:rPr>
          <w:lang w:val="en-US"/>
        </w:rPr>
      </w:pPr>
    </w:p>
    <w:p w14:paraId="2353B4E5" w14:textId="77777777" w:rsidR="00F349A9" w:rsidRDefault="00F349A9" w:rsidP="00F349A9">
      <w:pPr>
        <w:rPr>
          <w:lang w:val="en-US"/>
        </w:rPr>
      </w:pPr>
      <w:r>
        <w:rPr>
          <w:noProof/>
          <w:lang w:val="en-US"/>
        </w:rPr>
        <w:drawing>
          <wp:inline distT="0" distB="0" distL="0" distR="0" wp14:anchorId="699D15A8" wp14:editId="4A54AF23">
            <wp:extent cx="6117590" cy="705739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7590" cy="7057390"/>
                    </a:xfrm>
                    <a:prstGeom prst="rect">
                      <a:avLst/>
                    </a:prstGeom>
                    <a:noFill/>
                    <a:ln>
                      <a:noFill/>
                    </a:ln>
                  </pic:spPr>
                </pic:pic>
              </a:graphicData>
            </a:graphic>
          </wp:inline>
        </w:drawing>
      </w:r>
    </w:p>
    <w:p w14:paraId="5D4F6D9C" w14:textId="77777777" w:rsidR="00F349A9" w:rsidRDefault="00F349A9" w:rsidP="00F349A9">
      <w:pPr>
        <w:rPr>
          <w:lang w:val="en-US"/>
        </w:rPr>
      </w:pPr>
    </w:p>
    <w:p w14:paraId="4B2CF142" w14:textId="77777777" w:rsidR="00F349A9" w:rsidRPr="00333FA1" w:rsidRDefault="00F349A9" w:rsidP="00F349A9">
      <w:pPr>
        <w:rPr>
          <w:lang w:val="en-US"/>
        </w:rPr>
      </w:pPr>
    </w:p>
    <w:p w14:paraId="09892D1A" w14:textId="5E91EB93" w:rsidR="00DD308C" w:rsidRPr="00F349A9" w:rsidRDefault="00DD308C" w:rsidP="00F349A9"/>
    <w:sectPr w:rsidR="00DD308C" w:rsidRPr="00F349A9" w:rsidSect="00362932">
      <w:headerReference w:type="even" r:id="rId14"/>
      <w:headerReference w:type="default" r:id="rId15"/>
      <w:footerReference w:type="default" r:id="rId16"/>
      <w:pgSz w:w="11906" w:h="16838"/>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1459E" w14:textId="77777777" w:rsidR="002F7156" w:rsidRDefault="002F7156" w:rsidP="00C87F48">
      <w:pPr>
        <w:spacing w:after="0" w:line="240" w:lineRule="auto"/>
      </w:pPr>
      <w:r>
        <w:separator/>
      </w:r>
    </w:p>
  </w:endnote>
  <w:endnote w:type="continuationSeparator" w:id="0">
    <w:p w14:paraId="22551D48" w14:textId="77777777" w:rsidR="002F7156" w:rsidRDefault="002F7156" w:rsidP="00C8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Andale Mono"/>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180F" w14:textId="0FFFC2B7" w:rsidR="00433F0B" w:rsidRPr="00E52205" w:rsidRDefault="00433F0B" w:rsidP="00433F0B">
    <w:pPr>
      <w:pStyle w:val="Pidipagina"/>
      <w:jc w:val="center"/>
      <w:rPr>
        <w:sz w:val="18"/>
      </w:rPr>
    </w:pPr>
    <w:r w:rsidRPr="00110150">
      <w:rPr>
        <w:sz w:val="18"/>
      </w:rPr>
      <w:t>WWW.</w:t>
    </w:r>
    <w:r w:rsidR="00B6112B">
      <w:rPr>
        <w:sz w:val="18"/>
      </w:rPr>
      <w:t>BIORESPIRA</w:t>
    </w:r>
    <w:r w:rsidRPr="00110150">
      <w:rPr>
        <w:sz w:val="18"/>
      </w:rPr>
      <w:t>.</w:t>
    </w:r>
    <w:r>
      <w:rPr>
        <w:sz w:val="18"/>
      </w:rPr>
      <w:t>CARE</w:t>
    </w:r>
  </w:p>
  <w:p w14:paraId="6978C15A" w14:textId="77777777" w:rsidR="003E6271" w:rsidRDefault="003E62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B251D" w14:textId="77777777" w:rsidR="002F7156" w:rsidRDefault="002F7156" w:rsidP="00C87F48">
      <w:pPr>
        <w:spacing w:after="0" w:line="240" w:lineRule="auto"/>
      </w:pPr>
      <w:r>
        <w:separator/>
      </w:r>
    </w:p>
  </w:footnote>
  <w:footnote w:type="continuationSeparator" w:id="0">
    <w:p w14:paraId="415BDB83" w14:textId="77777777" w:rsidR="002F7156" w:rsidRDefault="002F7156" w:rsidP="00C87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1ABA" w14:textId="77777777" w:rsidR="00B9011A" w:rsidRDefault="00675642">
    <w:pPr>
      <w:pStyle w:val="Intestazione"/>
    </w:pPr>
    <w:r>
      <w:rPr>
        <w:noProof/>
      </w:rPr>
      <w:drawing>
        <wp:inline distT="0" distB="0" distL="0" distR="0" wp14:anchorId="705E7B58" wp14:editId="73AECA57">
          <wp:extent cx="2825750" cy="1684020"/>
          <wp:effectExtent l="0" t="0" r="0" b="0"/>
          <wp:docPr id="6" name="Immagine 1" descr="S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1684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938"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5595"/>
    </w:tblGrid>
    <w:tr w:rsidR="00433F0B" w14:paraId="17522226" w14:textId="77777777" w:rsidTr="00086EDF">
      <w:trPr>
        <w:trHeight w:val="226"/>
      </w:trPr>
      <w:tc>
        <w:tcPr>
          <w:tcW w:w="1343" w:type="dxa"/>
          <w:tcBorders>
            <w:right w:val="single" w:sz="4" w:space="0" w:color="808080" w:themeColor="background1" w:themeShade="80"/>
          </w:tcBorders>
          <w:vAlign w:val="center"/>
        </w:tcPr>
        <w:p w14:paraId="18A3AFC9" w14:textId="77777777" w:rsidR="00433F0B" w:rsidRDefault="00433F0B" w:rsidP="00433F0B">
          <w:pPr>
            <w:pStyle w:val="Intestazione"/>
            <w:jc w:val="left"/>
          </w:pPr>
          <w:r>
            <w:rPr>
              <w:noProof/>
            </w:rPr>
            <w:drawing>
              <wp:inline distT="0" distB="0" distL="0" distR="0" wp14:anchorId="44F4B743" wp14:editId="7B276CAA">
                <wp:extent cx="447675" cy="4476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5595" w:type="dxa"/>
          <w:tcBorders>
            <w:left w:val="single" w:sz="4" w:space="0" w:color="808080" w:themeColor="background1" w:themeShade="80"/>
          </w:tcBorders>
        </w:tcPr>
        <w:p w14:paraId="5A9B6A84" w14:textId="77777777" w:rsidR="00433F0B" w:rsidRDefault="00433F0B" w:rsidP="00433F0B">
          <w:pPr>
            <w:pStyle w:val="Intestazione"/>
            <w:jc w:val="left"/>
          </w:pPr>
          <w:bookmarkStart w:id="0" w:name="_Hlk511983232"/>
          <w:r>
            <w:t xml:space="preserve">        </w:t>
          </w:r>
          <w:r>
            <w:rPr>
              <w:noProof/>
            </w:rPr>
            <w:drawing>
              <wp:inline distT="0" distB="0" distL="0" distR="0" wp14:anchorId="3280A21B" wp14:editId="0BD7B277">
                <wp:extent cx="1904365" cy="514349"/>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019" t="-1" r="-1" b="-5366"/>
                        <a:stretch/>
                      </pic:blipFill>
                      <pic:spPr bwMode="auto">
                        <a:xfrm>
                          <a:off x="0" y="0"/>
                          <a:ext cx="1965447" cy="530847"/>
                        </a:xfrm>
                        <a:prstGeom prst="rect">
                          <a:avLst/>
                        </a:prstGeom>
                        <a:noFill/>
                        <a:ln>
                          <a:noFill/>
                        </a:ln>
                        <a:extLst>
                          <a:ext uri="{53640926-AAD7-44D8-BBD7-CCE9431645EC}">
                            <a14:shadowObscured xmlns:a14="http://schemas.microsoft.com/office/drawing/2010/main"/>
                          </a:ext>
                        </a:extLst>
                      </pic:spPr>
                    </pic:pic>
                  </a:graphicData>
                </a:graphic>
              </wp:inline>
            </w:drawing>
          </w:r>
        </w:p>
      </w:tc>
    </w:tr>
  </w:tbl>
  <w:bookmarkEnd w:id="0"/>
  <w:p w14:paraId="53354D17" w14:textId="4F5DF3C4" w:rsidR="003E6271" w:rsidRDefault="00433F0B">
    <w:pPr>
      <w:pStyle w:val="Intestazione"/>
    </w:pPr>
    <w:r>
      <w:rPr>
        <w:noProof/>
      </w:rPr>
      <mc:AlternateContent>
        <mc:Choice Requires="wps">
          <w:drawing>
            <wp:anchor distT="0" distB="0" distL="114300" distR="114300" simplePos="0" relativeHeight="251659264" behindDoc="0" locked="0" layoutInCell="0" allowOverlap="1" wp14:anchorId="625D764D" wp14:editId="57FE2EAB">
              <wp:simplePos x="0" y="0"/>
              <wp:positionH relativeFrom="margin">
                <wp:align>right</wp:align>
              </wp:positionH>
              <wp:positionV relativeFrom="margin">
                <wp:posOffset>-1219835</wp:posOffset>
              </wp:positionV>
              <wp:extent cx="310515" cy="1804035"/>
              <wp:effectExtent l="0" t="708660" r="0" b="714375"/>
              <wp:wrapNone/>
              <wp:docPr id="7"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180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BA536" w14:textId="72B583FE" w:rsidR="00433F0B" w:rsidRPr="00B9011A" w:rsidRDefault="00433F0B" w:rsidP="00433F0B">
                          <w:pPr>
                            <w:pStyle w:val="Pidipagina"/>
                            <w:jc w:val="right"/>
                            <w:rPr>
                              <w:rFonts w:asciiTheme="majorHAnsi" w:eastAsiaTheme="majorEastAsia" w:hAnsiTheme="majorHAnsi" w:cstheme="majorBidi"/>
                              <w:b/>
                              <w:color w:val="808080" w:themeColor="background1" w:themeShade="80"/>
                              <w:szCs w:val="16"/>
                            </w:rPr>
                          </w:pPr>
                          <w:r w:rsidRPr="00B9011A">
                            <w:rPr>
                              <w:rFonts w:asciiTheme="majorHAnsi" w:eastAsiaTheme="majorEastAsia" w:hAnsiTheme="majorHAnsi" w:cstheme="majorBidi"/>
                              <w:b/>
                              <w:color w:val="808080" w:themeColor="background1" w:themeShade="80"/>
                              <w:szCs w:val="16"/>
                            </w:rPr>
                            <w:t>Pag.</w:t>
                          </w:r>
                          <w:r>
                            <w:rPr>
                              <w:rFonts w:asciiTheme="majorHAnsi" w:eastAsiaTheme="majorEastAsia" w:hAnsiTheme="majorHAnsi" w:cstheme="majorBidi"/>
                              <w:b/>
                              <w:color w:val="808080" w:themeColor="background1" w:themeShade="80"/>
                              <w:szCs w:val="16"/>
                            </w:rPr>
                            <w:t xml:space="preserve"> </w:t>
                          </w:r>
                          <w:r w:rsidRPr="00B9011A">
                            <w:rPr>
                              <w:rFonts w:asciiTheme="minorHAnsi" w:eastAsiaTheme="minorEastAsia" w:hAnsiTheme="minorHAnsi"/>
                              <w:b/>
                              <w:color w:val="808080" w:themeColor="background1" w:themeShade="80"/>
                              <w:szCs w:val="16"/>
                            </w:rPr>
                            <w:fldChar w:fldCharType="begin"/>
                          </w:r>
                          <w:r w:rsidRPr="00B9011A">
                            <w:rPr>
                              <w:b/>
                              <w:color w:val="808080" w:themeColor="background1" w:themeShade="80"/>
                              <w:szCs w:val="16"/>
                            </w:rPr>
                            <w:instrText>PAGE    \* MERGEFORMAT</w:instrText>
                          </w:r>
                          <w:r w:rsidRPr="00B9011A">
                            <w:rPr>
                              <w:rFonts w:asciiTheme="minorHAnsi" w:eastAsiaTheme="minorEastAsia" w:hAnsiTheme="minorHAnsi"/>
                              <w:b/>
                              <w:color w:val="808080" w:themeColor="background1" w:themeShade="80"/>
                              <w:szCs w:val="16"/>
                            </w:rPr>
                            <w:fldChar w:fldCharType="separate"/>
                          </w:r>
                          <w:r w:rsidRPr="000C218C">
                            <w:rPr>
                              <w:rFonts w:asciiTheme="majorHAnsi" w:eastAsiaTheme="majorEastAsia" w:hAnsiTheme="majorHAnsi" w:cstheme="majorBidi"/>
                              <w:b/>
                              <w:noProof/>
                              <w:color w:val="808080" w:themeColor="background1" w:themeShade="80"/>
                              <w:szCs w:val="16"/>
                            </w:rPr>
                            <w:t>3</w:t>
                          </w:r>
                          <w:r w:rsidRPr="00B9011A">
                            <w:rPr>
                              <w:rFonts w:asciiTheme="majorHAnsi" w:eastAsiaTheme="majorEastAsia" w:hAnsiTheme="majorHAnsi" w:cstheme="majorBidi"/>
                              <w:b/>
                              <w:color w:val="808080" w:themeColor="background1" w:themeShade="80"/>
                              <w:szCs w:val="16"/>
                            </w:rPr>
                            <w:fldChar w:fldCharType="end"/>
                          </w:r>
                          <w:r>
                            <w:rPr>
                              <w:rFonts w:asciiTheme="majorHAnsi" w:eastAsiaTheme="majorEastAsia" w:hAnsiTheme="majorHAnsi" w:cstheme="majorBidi"/>
                              <w:b/>
                              <w:color w:val="808080" w:themeColor="background1" w:themeShade="80"/>
                              <w:szCs w:val="16"/>
                            </w:rPr>
                            <w:t xml:space="preserve"> of</w:t>
                          </w:r>
                          <w:r w:rsidRPr="00B9011A">
                            <w:rPr>
                              <w:rFonts w:asciiTheme="majorHAnsi" w:eastAsiaTheme="majorEastAsia" w:hAnsiTheme="majorHAnsi" w:cstheme="majorBidi"/>
                              <w:b/>
                              <w:color w:val="808080" w:themeColor="background1" w:themeShade="80"/>
                              <w:szCs w:val="16"/>
                            </w:rPr>
                            <w:t xml:space="preserve"> </w:t>
                          </w:r>
                          <w:r>
                            <w:rPr>
                              <w:rFonts w:asciiTheme="majorHAnsi" w:eastAsiaTheme="majorEastAsia" w:hAnsiTheme="majorHAnsi" w:cstheme="majorBidi"/>
                              <w:b/>
                              <w:color w:val="808080" w:themeColor="background1" w:themeShade="80"/>
                              <w:szCs w:val="16"/>
                            </w:rPr>
                            <w:fldChar w:fldCharType="begin"/>
                          </w:r>
                          <w:r>
                            <w:rPr>
                              <w:rFonts w:asciiTheme="majorHAnsi" w:eastAsiaTheme="majorEastAsia" w:hAnsiTheme="majorHAnsi" w:cstheme="majorBidi"/>
                              <w:b/>
                              <w:color w:val="808080" w:themeColor="background1" w:themeShade="80"/>
                              <w:szCs w:val="16"/>
                            </w:rPr>
                            <w:instrText xml:space="preserve"> NUMPAGES  \* Arabic  \* MERGEFORMAT </w:instrText>
                          </w:r>
                          <w:r>
                            <w:rPr>
                              <w:rFonts w:asciiTheme="majorHAnsi" w:eastAsiaTheme="majorEastAsia" w:hAnsiTheme="majorHAnsi" w:cstheme="majorBidi"/>
                              <w:b/>
                              <w:color w:val="808080" w:themeColor="background1" w:themeShade="80"/>
                              <w:szCs w:val="16"/>
                            </w:rPr>
                            <w:fldChar w:fldCharType="separate"/>
                          </w:r>
                          <w:r>
                            <w:rPr>
                              <w:rFonts w:asciiTheme="majorHAnsi" w:eastAsiaTheme="majorEastAsia" w:hAnsiTheme="majorHAnsi" w:cstheme="majorBidi"/>
                              <w:b/>
                              <w:noProof/>
                              <w:color w:val="808080" w:themeColor="background1" w:themeShade="80"/>
                              <w:szCs w:val="16"/>
                            </w:rPr>
                            <w:t>3</w:t>
                          </w:r>
                          <w:r>
                            <w:rPr>
                              <w:rFonts w:asciiTheme="majorHAnsi" w:eastAsiaTheme="majorEastAsia" w:hAnsiTheme="majorHAnsi" w:cstheme="majorBidi"/>
                              <w:b/>
                              <w:color w:val="808080" w:themeColor="background1" w:themeShade="80"/>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5D764D" id="Rettangolo 3" o:spid="_x0000_s1026" style="position:absolute;left:0;text-align:left;margin-left:-26.75pt;margin-top:-96.05pt;width:24.45pt;height:142.05pt;rotation:9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" o:allowincell="f" filled="f" stroked="f">
              <v:textbox>
                <w:txbxContent>
                  <w:p w14:paraId="52DBA536" w14:textId="72B583FE" w:rsidR="00433F0B" w:rsidRPr="00B9011A" w:rsidRDefault="00433F0B" w:rsidP="00433F0B">
                    <w:pPr>
                      <w:pStyle w:val="Pidipagina"/>
                      <w:jc w:val="right"/>
                      <w:rPr>
                        <w:rFonts w:asciiTheme="majorHAnsi" w:eastAsiaTheme="majorEastAsia" w:hAnsiTheme="majorHAnsi" w:cstheme="majorBidi"/>
                        <w:b/>
                        <w:color w:val="808080" w:themeColor="background1" w:themeShade="80"/>
                        <w:szCs w:val="16"/>
                      </w:rPr>
                    </w:pPr>
                    <w:r w:rsidRPr="00B9011A">
                      <w:rPr>
                        <w:rFonts w:asciiTheme="majorHAnsi" w:eastAsiaTheme="majorEastAsia" w:hAnsiTheme="majorHAnsi" w:cstheme="majorBidi"/>
                        <w:b/>
                        <w:color w:val="808080" w:themeColor="background1" w:themeShade="80"/>
                        <w:szCs w:val="16"/>
                      </w:rPr>
                      <w:t>Pag.</w:t>
                    </w:r>
                    <w:r>
                      <w:rPr>
                        <w:rFonts w:asciiTheme="majorHAnsi" w:eastAsiaTheme="majorEastAsia" w:hAnsiTheme="majorHAnsi" w:cstheme="majorBidi"/>
                        <w:b/>
                        <w:color w:val="808080" w:themeColor="background1" w:themeShade="80"/>
                        <w:szCs w:val="16"/>
                      </w:rPr>
                      <w:t xml:space="preserve"> </w:t>
                    </w:r>
                    <w:r w:rsidRPr="00B9011A">
                      <w:rPr>
                        <w:rFonts w:asciiTheme="minorHAnsi" w:eastAsiaTheme="minorEastAsia" w:hAnsiTheme="minorHAnsi"/>
                        <w:b/>
                        <w:color w:val="808080" w:themeColor="background1" w:themeShade="80"/>
                        <w:szCs w:val="16"/>
                      </w:rPr>
                      <w:fldChar w:fldCharType="begin"/>
                    </w:r>
                    <w:r w:rsidRPr="00B9011A">
                      <w:rPr>
                        <w:b/>
                        <w:color w:val="808080" w:themeColor="background1" w:themeShade="80"/>
                        <w:szCs w:val="16"/>
                      </w:rPr>
                      <w:instrText>PAGE    \* MERGEFORMAT</w:instrText>
                    </w:r>
                    <w:r w:rsidRPr="00B9011A">
                      <w:rPr>
                        <w:rFonts w:asciiTheme="minorHAnsi" w:eastAsiaTheme="minorEastAsia" w:hAnsiTheme="minorHAnsi"/>
                        <w:b/>
                        <w:color w:val="808080" w:themeColor="background1" w:themeShade="80"/>
                        <w:szCs w:val="16"/>
                      </w:rPr>
                      <w:fldChar w:fldCharType="separate"/>
                    </w:r>
                    <w:r w:rsidRPr="000C218C">
                      <w:rPr>
                        <w:rFonts w:asciiTheme="majorHAnsi" w:eastAsiaTheme="majorEastAsia" w:hAnsiTheme="majorHAnsi" w:cstheme="majorBidi"/>
                        <w:b/>
                        <w:noProof/>
                        <w:color w:val="808080" w:themeColor="background1" w:themeShade="80"/>
                        <w:szCs w:val="16"/>
                      </w:rPr>
                      <w:t>3</w:t>
                    </w:r>
                    <w:r w:rsidRPr="00B9011A">
                      <w:rPr>
                        <w:rFonts w:asciiTheme="majorHAnsi" w:eastAsiaTheme="majorEastAsia" w:hAnsiTheme="majorHAnsi" w:cstheme="majorBidi"/>
                        <w:b/>
                        <w:color w:val="808080" w:themeColor="background1" w:themeShade="80"/>
                        <w:szCs w:val="16"/>
                      </w:rPr>
                      <w:fldChar w:fldCharType="end"/>
                    </w:r>
                    <w:r>
                      <w:rPr>
                        <w:rFonts w:asciiTheme="majorHAnsi" w:eastAsiaTheme="majorEastAsia" w:hAnsiTheme="majorHAnsi" w:cstheme="majorBidi"/>
                        <w:b/>
                        <w:color w:val="808080" w:themeColor="background1" w:themeShade="80"/>
                        <w:szCs w:val="16"/>
                      </w:rPr>
                      <w:t xml:space="preserve"> of</w:t>
                    </w:r>
                    <w:r w:rsidRPr="00B9011A">
                      <w:rPr>
                        <w:rFonts w:asciiTheme="majorHAnsi" w:eastAsiaTheme="majorEastAsia" w:hAnsiTheme="majorHAnsi" w:cstheme="majorBidi"/>
                        <w:b/>
                        <w:color w:val="808080" w:themeColor="background1" w:themeShade="80"/>
                        <w:szCs w:val="16"/>
                      </w:rPr>
                      <w:t xml:space="preserve"> </w:t>
                    </w:r>
                    <w:r>
                      <w:rPr>
                        <w:rFonts w:asciiTheme="majorHAnsi" w:eastAsiaTheme="majorEastAsia" w:hAnsiTheme="majorHAnsi" w:cstheme="majorBidi"/>
                        <w:b/>
                        <w:color w:val="808080" w:themeColor="background1" w:themeShade="80"/>
                        <w:szCs w:val="16"/>
                      </w:rPr>
                      <w:fldChar w:fldCharType="begin"/>
                    </w:r>
                    <w:r>
                      <w:rPr>
                        <w:rFonts w:asciiTheme="majorHAnsi" w:eastAsiaTheme="majorEastAsia" w:hAnsiTheme="majorHAnsi" w:cstheme="majorBidi"/>
                        <w:b/>
                        <w:color w:val="808080" w:themeColor="background1" w:themeShade="80"/>
                        <w:szCs w:val="16"/>
                      </w:rPr>
                      <w:instrText xml:space="preserve"> NUMPAGES  \* Arabic  \* MERGEFORMAT </w:instrText>
                    </w:r>
                    <w:r>
                      <w:rPr>
                        <w:rFonts w:asciiTheme="majorHAnsi" w:eastAsiaTheme="majorEastAsia" w:hAnsiTheme="majorHAnsi" w:cstheme="majorBidi"/>
                        <w:b/>
                        <w:color w:val="808080" w:themeColor="background1" w:themeShade="80"/>
                        <w:szCs w:val="16"/>
                      </w:rPr>
                      <w:fldChar w:fldCharType="separate"/>
                    </w:r>
                    <w:r>
                      <w:rPr>
                        <w:rFonts w:asciiTheme="majorHAnsi" w:eastAsiaTheme="majorEastAsia" w:hAnsiTheme="majorHAnsi" w:cstheme="majorBidi"/>
                        <w:b/>
                        <w:noProof/>
                        <w:color w:val="808080" w:themeColor="background1" w:themeShade="80"/>
                        <w:szCs w:val="16"/>
                      </w:rPr>
                      <w:t>3</w:t>
                    </w:r>
                    <w:r>
                      <w:rPr>
                        <w:rFonts w:asciiTheme="majorHAnsi" w:eastAsiaTheme="majorEastAsia" w:hAnsiTheme="majorHAnsi" w:cstheme="majorBidi"/>
                        <w:b/>
                        <w:color w:val="808080" w:themeColor="background1" w:themeShade="80"/>
                        <w:szCs w:val="16"/>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120"/>
    <w:multiLevelType w:val="hybridMultilevel"/>
    <w:tmpl w:val="EF3452A8"/>
    <w:lvl w:ilvl="0" w:tplc="6B44B174">
      <w:start w:val="2"/>
      <w:numFmt w:val="lowerLetter"/>
      <w:lvlText w:val="%1)"/>
      <w:lvlJc w:val="left"/>
      <w:pPr>
        <w:ind w:left="360" w:hanging="360"/>
      </w:pPr>
      <w:rPr>
        <w:rFonts w:asciiTheme="majorHAnsi" w:eastAsia="Times New Roman" w:hAnsiTheme="majorHAnsi" w:cs="Calibri" w:hint="default"/>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B8052BF"/>
    <w:multiLevelType w:val="hybridMultilevel"/>
    <w:tmpl w:val="3AA4053E"/>
    <w:lvl w:ilvl="0" w:tplc="482AFF6A">
      <w:start w:val="1"/>
      <w:numFmt w:val="decimal"/>
      <w:lvlText w:val="%1."/>
      <w:lvlJc w:val="left"/>
      <w:pPr>
        <w:ind w:left="720" w:hanging="360"/>
      </w:pPr>
      <w:rPr>
        <w:rFonts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3D0D8A"/>
    <w:multiLevelType w:val="hybridMultilevel"/>
    <w:tmpl w:val="5F606366"/>
    <w:lvl w:ilvl="0" w:tplc="8D7067A4">
      <w:start w:val="1"/>
      <w:numFmt w:val="lowerLetter"/>
      <w:lvlText w:val="%1)"/>
      <w:lvlJc w:val="left"/>
      <w:pPr>
        <w:ind w:left="720" w:hanging="360"/>
      </w:pPr>
      <w:rPr>
        <w:rFonts w:asciiTheme="majorHAnsi" w:eastAsia="Times New Roman" w:hAnsiTheme="majorHAnsi" w:cs="Calibri"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003269"/>
    <w:multiLevelType w:val="hybridMultilevel"/>
    <w:tmpl w:val="D7265CB2"/>
    <w:lvl w:ilvl="0" w:tplc="B4908E68">
      <w:start w:val="1"/>
      <w:numFmt w:val="lowerLetter"/>
      <w:lvlText w:val="%1)"/>
      <w:lvlJc w:val="left"/>
      <w:pPr>
        <w:ind w:left="360" w:hanging="360"/>
      </w:pPr>
      <w:rPr>
        <w:rFonts w:asciiTheme="majorHAnsi" w:eastAsia="Times New Roman" w:hAnsiTheme="majorHAnsi" w:cs="Calibri" w:hint="default"/>
        <w:b/>
        <w:color w:val="00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9A93D44"/>
    <w:multiLevelType w:val="multilevel"/>
    <w:tmpl w:val="CFAC7B28"/>
    <w:lvl w:ilvl="0">
      <w:start w:val="1"/>
      <w:numFmt w:val="decimal"/>
      <w:pStyle w:val="Titolo1"/>
      <w:lvlText w:val="%1"/>
      <w:lvlJc w:val="left"/>
      <w:pPr>
        <w:ind w:left="432" w:hanging="432"/>
      </w:pPr>
      <w:rPr>
        <w:rFonts w:ascii="Century Gothic" w:eastAsiaTheme="majorEastAsia" w:hAnsi="Century Gothic" w:cstheme="majorBidi"/>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3CEC5B3A"/>
    <w:multiLevelType w:val="hybridMultilevel"/>
    <w:tmpl w:val="03FE8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F60BFA"/>
    <w:multiLevelType w:val="hybridMultilevel"/>
    <w:tmpl w:val="4F5C0F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5C31E9"/>
    <w:multiLevelType w:val="hybridMultilevel"/>
    <w:tmpl w:val="EBA6E788"/>
    <w:lvl w:ilvl="0" w:tplc="D1D0A42E">
      <w:start w:val="1"/>
      <w:numFmt w:val="lowerLetter"/>
      <w:lvlText w:val="%1)"/>
      <w:lvlJc w:val="left"/>
      <w:pPr>
        <w:ind w:left="360" w:hanging="360"/>
      </w:pPr>
      <w:rPr>
        <w:rFonts w:asciiTheme="majorHAnsi" w:eastAsia="Times New Roman" w:hAnsiTheme="majorHAnsi" w:cs="Calibri" w:hint="default"/>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9DA4362"/>
    <w:multiLevelType w:val="hybridMultilevel"/>
    <w:tmpl w:val="515229D0"/>
    <w:lvl w:ilvl="0" w:tplc="8A7A0BE4">
      <w:start w:val="1"/>
      <w:numFmt w:val="lowerLetter"/>
      <w:lvlText w:val="%1)"/>
      <w:lvlJc w:val="left"/>
      <w:pPr>
        <w:ind w:left="705" w:hanging="705"/>
      </w:pPr>
      <w:rPr>
        <w:rFonts w:hint="default"/>
        <w:color w:val="auto"/>
      </w:r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9" w15:restartNumberingAfterBreak="0">
    <w:nsid w:val="5EC44BC6"/>
    <w:multiLevelType w:val="hybridMultilevel"/>
    <w:tmpl w:val="C888C716"/>
    <w:lvl w:ilvl="0" w:tplc="4BF0BB6C">
      <w:start w:val="1"/>
      <w:numFmt w:val="lowerLetter"/>
      <w:lvlText w:val="%1)"/>
      <w:lvlJc w:val="left"/>
      <w:pPr>
        <w:ind w:left="360" w:hanging="360"/>
      </w:pPr>
      <w:rPr>
        <w:rFonts w:asciiTheme="majorHAnsi" w:eastAsia="Times New Roman" w:hAnsiTheme="majorHAnsi" w:cs="Calibri" w:hint="default"/>
        <w:b/>
        <w:color w:val="00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D540702"/>
    <w:multiLevelType w:val="hybridMultilevel"/>
    <w:tmpl w:val="172AF0F4"/>
    <w:lvl w:ilvl="0" w:tplc="66320632">
      <w:start w:val="1"/>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1230E8"/>
    <w:multiLevelType w:val="hybridMultilevel"/>
    <w:tmpl w:val="03FE8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8"/>
  </w:num>
  <w:num w:numId="4">
    <w:abstractNumId w:val="10"/>
  </w:num>
  <w:num w:numId="5">
    <w:abstractNumId w:val="5"/>
  </w:num>
  <w:num w:numId="6">
    <w:abstractNumId w:val="11"/>
  </w:num>
  <w:num w:numId="7">
    <w:abstractNumId w:val="6"/>
  </w:num>
  <w:num w:numId="8">
    <w:abstractNumId w:val="2"/>
  </w:num>
  <w:num w:numId="9">
    <w:abstractNumId w:val="9"/>
  </w:num>
  <w:num w:numId="10">
    <w:abstractNumId w:val="0"/>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8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2"/>
    <w:rsid w:val="00022F37"/>
    <w:rsid w:val="00031518"/>
    <w:rsid w:val="0003473C"/>
    <w:rsid w:val="00067F82"/>
    <w:rsid w:val="000856EA"/>
    <w:rsid w:val="000A1536"/>
    <w:rsid w:val="000B0F1B"/>
    <w:rsid w:val="000C218C"/>
    <w:rsid w:val="000C6784"/>
    <w:rsid w:val="000D2EF4"/>
    <w:rsid w:val="000E1B12"/>
    <w:rsid w:val="000F433F"/>
    <w:rsid w:val="00110150"/>
    <w:rsid w:val="00125E51"/>
    <w:rsid w:val="00131842"/>
    <w:rsid w:val="00134D27"/>
    <w:rsid w:val="00140553"/>
    <w:rsid w:val="00143AB2"/>
    <w:rsid w:val="001514A7"/>
    <w:rsid w:val="00153B8F"/>
    <w:rsid w:val="00157290"/>
    <w:rsid w:val="00176BFA"/>
    <w:rsid w:val="00184E11"/>
    <w:rsid w:val="001873F6"/>
    <w:rsid w:val="001B4885"/>
    <w:rsid w:val="001B4D75"/>
    <w:rsid w:val="001C79CD"/>
    <w:rsid w:val="001E679C"/>
    <w:rsid w:val="002260FA"/>
    <w:rsid w:val="00294785"/>
    <w:rsid w:val="002C293D"/>
    <w:rsid w:val="002C3623"/>
    <w:rsid w:val="002C6E96"/>
    <w:rsid w:val="002D2B72"/>
    <w:rsid w:val="002D5126"/>
    <w:rsid w:val="002D5605"/>
    <w:rsid w:val="002F11FC"/>
    <w:rsid w:val="002F1E16"/>
    <w:rsid w:val="002F5176"/>
    <w:rsid w:val="002F7156"/>
    <w:rsid w:val="003039F9"/>
    <w:rsid w:val="00337923"/>
    <w:rsid w:val="00337D87"/>
    <w:rsid w:val="0035644A"/>
    <w:rsid w:val="00362032"/>
    <w:rsid w:val="00362932"/>
    <w:rsid w:val="003A7D5A"/>
    <w:rsid w:val="003C7E52"/>
    <w:rsid w:val="003D2E6E"/>
    <w:rsid w:val="003E6271"/>
    <w:rsid w:val="003F0FF3"/>
    <w:rsid w:val="00411FA6"/>
    <w:rsid w:val="0041269B"/>
    <w:rsid w:val="0041781A"/>
    <w:rsid w:val="00433F0B"/>
    <w:rsid w:val="004C1EE9"/>
    <w:rsid w:val="004C5BA5"/>
    <w:rsid w:val="00500EB2"/>
    <w:rsid w:val="00515C61"/>
    <w:rsid w:val="0052109E"/>
    <w:rsid w:val="0056793C"/>
    <w:rsid w:val="00567D04"/>
    <w:rsid w:val="005A2995"/>
    <w:rsid w:val="005B5773"/>
    <w:rsid w:val="005C2B51"/>
    <w:rsid w:val="005C790F"/>
    <w:rsid w:val="005E31AC"/>
    <w:rsid w:val="005F59F6"/>
    <w:rsid w:val="00602429"/>
    <w:rsid w:val="006100D8"/>
    <w:rsid w:val="00630231"/>
    <w:rsid w:val="00667B19"/>
    <w:rsid w:val="00675642"/>
    <w:rsid w:val="00693ED0"/>
    <w:rsid w:val="006A5093"/>
    <w:rsid w:val="006B6D79"/>
    <w:rsid w:val="006C2517"/>
    <w:rsid w:val="006D66C4"/>
    <w:rsid w:val="006D7F6B"/>
    <w:rsid w:val="00715461"/>
    <w:rsid w:val="007344E8"/>
    <w:rsid w:val="0074623A"/>
    <w:rsid w:val="007E6C05"/>
    <w:rsid w:val="0086109A"/>
    <w:rsid w:val="0086416D"/>
    <w:rsid w:val="008977CD"/>
    <w:rsid w:val="00905461"/>
    <w:rsid w:val="00922E84"/>
    <w:rsid w:val="00923B68"/>
    <w:rsid w:val="00927EEE"/>
    <w:rsid w:val="00942B68"/>
    <w:rsid w:val="00944BEA"/>
    <w:rsid w:val="009C1F81"/>
    <w:rsid w:val="009F4D6E"/>
    <w:rsid w:val="00A1330D"/>
    <w:rsid w:val="00A152F5"/>
    <w:rsid w:val="00A529D5"/>
    <w:rsid w:val="00A77094"/>
    <w:rsid w:val="00AB1D18"/>
    <w:rsid w:val="00AD42C2"/>
    <w:rsid w:val="00AF0EB0"/>
    <w:rsid w:val="00AF1C48"/>
    <w:rsid w:val="00B048FC"/>
    <w:rsid w:val="00B24591"/>
    <w:rsid w:val="00B51F64"/>
    <w:rsid w:val="00B55A80"/>
    <w:rsid w:val="00B6112B"/>
    <w:rsid w:val="00B66BDB"/>
    <w:rsid w:val="00B7686B"/>
    <w:rsid w:val="00B81B17"/>
    <w:rsid w:val="00B9011A"/>
    <w:rsid w:val="00BA508A"/>
    <w:rsid w:val="00BB5CB3"/>
    <w:rsid w:val="00BD6CB8"/>
    <w:rsid w:val="00BE7EE5"/>
    <w:rsid w:val="00BF3BC5"/>
    <w:rsid w:val="00C215B5"/>
    <w:rsid w:val="00C25197"/>
    <w:rsid w:val="00C26B4B"/>
    <w:rsid w:val="00C61961"/>
    <w:rsid w:val="00C75057"/>
    <w:rsid w:val="00C76218"/>
    <w:rsid w:val="00C858A0"/>
    <w:rsid w:val="00C87F48"/>
    <w:rsid w:val="00CE7791"/>
    <w:rsid w:val="00CF16F9"/>
    <w:rsid w:val="00CF5D25"/>
    <w:rsid w:val="00D00CCE"/>
    <w:rsid w:val="00D2657D"/>
    <w:rsid w:val="00D276BF"/>
    <w:rsid w:val="00D525F7"/>
    <w:rsid w:val="00D55083"/>
    <w:rsid w:val="00D75A23"/>
    <w:rsid w:val="00DD308C"/>
    <w:rsid w:val="00E128E7"/>
    <w:rsid w:val="00E17EE5"/>
    <w:rsid w:val="00E36F8B"/>
    <w:rsid w:val="00E37C71"/>
    <w:rsid w:val="00E92BC4"/>
    <w:rsid w:val="00EF4C46"/>
    <w:rsid w:val="00F046A5"/>
    <w:rsid w:val="00F07DCA"/>
    <w:rsid w:val="00F349A9"/>
    <w:rsid w:val="00F86544"/>
    <w:rsid w:val="00F93421"/>
    <w:rsid w:val="00FB7597"/>
    <w:rsid w:val="00FD408B"/>
    <w:rsid w:val="00FE2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A53DF"/>
  <w15:docId w15:val="{61D806BB-2C66-47DA-99DA-118748FE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16"/>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44E8"/>
    <w:pPr>
      <w:keepLines/>
      <w:jc w:val="both"/>
    </w:pPr>
  </w:style>
  <w:style w:type="paragraph" w:styleId="Titolo1">
    <w:name w:val="heading 1"/>
    <w:basedOn w:val="Normale"/>
    <w:next w:val="Titolo2"/>
    <w:link w:val="Titolo1Carattere"/>
    <w:uiPriority w:val="9"/>
    <w:qFormat/>
    <w:rsid w:val="00184E11"/>
    <w:pPr>
      <w:keepNext/>
      <w:numPr>
        <w:numId w:val="1"/>
      </w:numPr>
      <w:pBdr>
        <w:bottom w:val="single" w:sz="4" w:space="1" w:color="auto"/>
      </w:pBdr>
      <w:spacing w:after="240"/>
      <w:ind w:left="431" w:hanging="431"/>
      <w:outlineLvl w:val="0"/>
    </w:pPr>
    <w:rPr>
      <w:rFonts w:eastAsiaTheme="majorEastAsia" w:cstheme="majorBidi"/>
      <w:b/>
      <w:bCs/>
      <w:color w:val="1F497D" w:themeColor="text2"/>
      <w:sz w:val="24"/>
      <w:szCs w:val="28"/>
    </w:rPr>
  </w:style>
  <w:style w:type="paragraph" w:styleId="Titolo2">
    <w:name w:val="heading 2"/>
    <w:basedOn w:val="Normale"/>
    <w:next w:val="Titolo3"/>
    <w:link w:val="Titolo2Carattere"/>
    <w:uiPriority w:val="9"/>
    <w:unhideWhenUsed/>
    <w:qFormat/>
    <w:rsid w:val="0052109E"/>
    <w:pPr>
      <w:keepNext/>
      <w:numPr>
        <w:ilvl w:val="1"/>
        <w:numId w:val="1"/>
      </w:numPr>
      <w:spacing w:after="240"/>
      <w:ind w:left="578" w:hanging="578"/>
      <w:outlineLvl w:val="1"/>
    </w:pPr>
    <w:rPr>
      <w:rFonts w:eastAsiaTheme="majorEastAsia" w:cstheme="majorBidi"/>
      <w:b/>
      <w:bCs/>
      <w:color w:val="365F91" w:themeColor="accent1" w:themeShade="BF"/>
      <w:sz w:val="24"/>
      <w:szCs w:val="26"/>
    </w:rPr>
  </w:style>
  <w:style w:type="paragraph" w:styleId="Titolo3">
    <w:name w:val="heading 3"/>
    <w:basedOn w:val="Normale"/>
    <w:next w:val="Titolo4"/>
    <w:link w:val="Titolo3Carattere"/>
    <w:uiPriority w:val="9"/>
    <w:unhideWhenUsed/>
    <w:qFormat/>
    <w:rsid w:val="00B81B17"/>
    <w:pPr>
      <w:keepNext/>
      <w:numPr>
        <w:ilvl w:val="2"/>
        <w:numId w:val="1"/>
      </w:numPr>
      <w:spacing w:after="240"/>
      <w:ind w:left="890"/>
      <w:outlineLvl w:val="2"/>
    </w:pPr>
    <w:rPr>
      <w:rFonts w:eastAsiaTheme="majorEastAsia" w:cstheme="majorBidi"/>
      <w:b/>
      <w:bCs/>
      <w:color w:val="4F81BD" w:themeColor="accent1"/>
      <w:sz w:val="24"/>
    </w:rPr>
  </w:style>
  <w:style w:type="paragraph" w:styleId="Titolo4">
    <w:name w:val="heading 4"/>
    <w:basedOn w:val="Normale"/>
    <w:next w:val="Normale"/>
    <w:link w:val="Titolo4Carattere"/>
    <w:uiPriority w:val="9"/>
    <w:unhideWhenUsed/>
    <w:qFormat/>
    <w:rsid w:val="00D75A23"/>
    <w:pPr>
      <w:keepNext/>
      <w:numPr>
        <w:ilvl w:val="3"/>
        <w:numId w:val="1"/>
      </w:numPr>
      <w:spacing w:after="240"/>
      <w:ind w:left="1202" w:hanging="862"/>
      <w:outlineLvl w:val="3"/>
    </w:pPr>
    <w:rPr>
      <w:rFonts w:eastAsiaTheme="majorEastAsia" w:cstheme="majorBidi"/>
      <w:b/>
      <w:bCs/>
      <w:iCs/>
      <w:color w:val="548DD4" w:themeColor="text2" w:themeTint="99"/>
      <w:sz w:val="24"/>
    </w:rPr>
  </w:style>
  <w:style w:type="paragraph" w:styleId="Titolo5">
    <w:name w:val="heading 5"/>
    <w:basedOn w:val="Normale"/>
    <w:next w:val="Normale"/>
    <w:link w:val="Titolo5Carattere"/>
    <w:uiPriority w:val="9"/>
    <w:unhideWhenUsed/>
    <w:qFormat/>
    <w:rsid w:val="00D75A23"/>
    <w:pPr>
      <w:keepNext/>
      <w:numPr>
        <w:ilvl w:val="4"/>
        <w:numId w:val="1"/>
      </w:numPr>
      <w:spacing w:before="200" w:after="0"/>
      <w:ind w:left="1519" w:hanging="1009"/>
      <w:outlineLvl w:val="4"/>
    </w:pPr>
    <w:rPr>
      <w:rFonts w:eastAsiaTheme="majorEastAsia" w:cstheme="majorBidi"/>
      <w:b/>
      <w:color w:val="548DD4" w:themeColor="text2" w:themeTint="99"/>
      <w:sz w:val="24"/>
    </w:rPr>
  </w:style>
  <w:style w:type="paragraph" w:styleId="Titolo6">
    <w:name w:val="heading 6"/>
    <w:basedOn w:val="Normale"/>
    <w:next w:val="Normale"/>
    <w:link w:val="Titolo6Carattere"/>
    <w:uiPriority w:val="9"/>
    <w:semiHidden/>
    <w:unhideWhenUsed/>
    <w:qFormat/>
    <w:rsid w:val="00D75A23"/>
    <w:pPr>
      <w:keepNext/>
      <w:numPr>
        <w:ilvl w:val="5"/>
        <w:numId w:val="1"/>
      </w:numPr>
      <w:spacing w:before="200" w:after="0"/>
      <w:ind w:left="1831" w:hanging="1151"/>
      <w:outlineLvl w:val="5"/>
    </w:pPr>
    <w:rPr>
      <w:rFonts w:eastAsiaTheme="majorEastAsia" w:cstheme="majorBidi"/>
      <w:b/>
      <w:iCs/>
      <w:color w:val="548DD4" w:themeColor="text2" w:themeTint="99"/>
      <w:sz w:val="24"/>
    </w:rPr>
  </w:style>
  <w:style w:type="paragraph" w:styleId="Titolo7">
    <w:name w:val="heading 7"/>
    <w:basedOn w:val="Normale"/>
    <w:next w:val="Normale"/>
    <w:link w:val="Titolo7Carattere"/>
    <w:uiPriority w:val="9"/>
    <w:semiHidden/>
    <w:unhideWhenUsed/>
    <w:qFormat/>
    <w:rsid w:val="00031518"/>
    <w:pPr>
      <w:keepNext/>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518"/>
    <w:pPr>
      <w:keepNext/>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31518"/>
    <w:pPr>
      <w:keepNext/>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4E11"/>
    <w:rPr>
      <w:rFonts w:eastAsiaTheme="majorEastAsia" w:cstheme="majorBidi"/>
      <w:b/>
      <w:bCs/>
      <w:color w:val="1F497D" w:themeColor="text2"/>
      <w:sz w:val="24"/>
      <w:szCs w:val="28"/>
    </w:rPr>
  </w:style>
  <w:style w:type="character" w:customStyle="1" w:styleId="Titolo2Carattere">
    <w:name w:val="Titolo 2 Carattere"/>
    <w:basedOn w:val="Carpredefinitoparagrafo"/>
    <w:link w:val="Titolo2"/>
    <w:uiPriority w:val="9"/>
    <w:rsid w:val="0052109E"/>
    <w:rPr>
      <w:rFonts w:ascii="Century Gothic" w:eastAsiaTheme="majorEastAsia" w:hAnsi="Century Gothic" w:cstheme="majorBidi"/>
      <w:b/>
      <w:bCs/>
      <w:color w:val="365F91" w:themeColor="accent1" w:themeShade="BF"/>
      <w:sz w:val="24"/>
      <w:szCs w:val="26"/>
    </w:rPr>
  </w:style>
  <w:style w:type="character" w:customStyle="1" w:styleId="Titolo3Carattere">
    <w:name w:val="Titolo 3 Carattere"/>
    <w:basedOn w:val="Carpredefinitoparagrafo"/>
    <w:link w:val="Titolo3"/>
    <w:uiPriority w:val="9"/>
    <w:rsid w:val="00B81B17"/>
    <w:rPr>
      <w:rFonts w:ascii="Century Gothic" w:eastAsiaTheme="majorEastAsia" w:hAnsi="Century Gothic" w:cstheme="majorBidi"/>
      <w:b/>
      <w:bCs/>
      <w:color w:val="4F81BD" w:themeColor="accent1"/>
      <w:sz w:val="24"/>
    </w:rPr>
  </w:style>
  <w:style w:type="character" w:customStyle="1" w:styleId="Titolo4Carattere">
    <w:name w:val="Titolo 4 Carattere"/>
    <w:basedOn w:val="Carpredefinitoparagrafo"/>
    <w:link w:val="Titolo4"/>
    <w:uiPriority w:val="9"/>
    <w:rsid w:val="00D75A23"/>
    <w:rPr>
      <w:rFonts w:ascii="Century Gothic" w:eastAsiaTheme="majorEastAsia" w:hAnsi="Century Gothic" w:cstheme="majorBidi"/>
      <w:b/>
      <w:bCs/>
      <w:iCs/>
      <w:color w:val="548DD4" w:themeColor="text2" w:themeTint="99"/>
      <w:sz w:val="24"/>
    </w:rPr>
  </w:style>
  <w:style w:type="character" w:customStyle="1" w:styleId="Titolo5Carattere">
    <w:name w:val="Titolo 5 Carattere"/>
    <w:basedOn w:val="Carpredefinitoparagrafo"/>
    <w:link w:val="Titolo5"/>
    <w:uiPriority w:val="9"/>
    <w:rsid w:val="00D75A23"/>
    <w:rPr>
      <w:rFonts w:ascii="Century Gothic" w:eastAsiaTheme="majorEastAsia" w:hAnsi="Century Gothic" w:cstheme="majorBidi"/>
      <w:b/>
      <w:color w:val="548DD4" w:themeColor="text2" w:themeTint="99"/>
      <w:sz w:val="24"/>
    </w:rPr>
  </w:style>
  <w:style w:type="character" w:customStyle="1" w:styleId="Titolo6Carattere">
    <w:name w:val="Titolo 6 Carattere"/>
    <w:basedOn w:val="Carpredefinitoparagrafo"/>
    <w:link w:val="Titolo6"/>
    <w:uiPriority w:val="9"/>
    <w:semiHidden/>
    <w:rsid w:val="00D75A23"/>
    <w:rPr>
      <w:rFonts w:ascii="Century Gothic" w:eastAsiaTheme="majorEastAsia" w:hAnsi="Century Gothic" w:cstheme="majorBidi"/>
      <w:b/>
      <w:iCs/>
      <w:color w:val="548DD4" w:themeColor="text2" w:themeTint="99"/>
      <w:sz w:val="24"/>
    </w:rPr>
  </w:style>
  <w:style w:type="character" w:customStyle="1" w:styleId="Titolo7Carattere">
    <w:name w:val="Titolo 7 Carattere"/>
    <w:basedOn w:val="Carpredefinitoparagrafo"/>
    <w:link w:val="Titolo7"/>
    <w:uiPriority w:val="9"/>
    <w:semiHidden/>
    <w:rsid w:val="0003151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51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518"/>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rsid w:val="00031518"/>
    <w:pPr>
      <w:keepLines/>
      <w:spacing w:after="0" w:line="240" w:lineRule="auto"/>
    </w:pPr>
    <w:rPr>
      <w:color w:val="000000" w:themeColor="text1"/>
    </w:rPr>
  </w:style>
  <w:style w:type="paragraph" w:styleId="Titolo">
    <w:name w:val="Title"/>
    <w:basedOn w:val="Normale"/>
    <w:next w:val="Titolo1"/>
    <w:link w:val="TitoloCarattere"/>
    <w:uiPriority w:val="10"/>
    <w:qFormat/>
    <w:rsid w:val="00C61961"/>
    <w:pPr>
      <w:shd w:val="clear" w:color="auto" w:fill="1F497D" w:themeFill="text2"/>
      <w:spacing w:after="360" w:line="240" w:lineRule="auto"/>
      <w:contextualSpacing/>
      <w:jc w:val="center"/>
    </w:pPr>
    <w:rPr>
      <w:rFonts w:eastAsiaTheme="majorEastAsia" w:cstheme="majorBidi"/>
      <w:b/>
      <w:caps/>
      <w:color w:val="FFFFFF" w:themeColor="background1"/>
      <w:spacing w:val="5"/>
      <w:kern w:val="28"/>
      <w:sz w:val="32"/>
      <w:szCs w:val="52"/>
    </w:rPr>
  </w:style>
  <w:style w:type="character" w:customStyle="1" w:styleId="TitoloCarattere">
    <w:name w:val="Titolo Carattere"/>
    <w:basedOn w:val="Carpredefinitoparagrafo"/>
    <w:link w:val="Titolo"/>
    <w:uiPriority w:val="10"/>
    <w:rsid w:val="00C61961"/>
    <w:rPr>
      <w:rFonts w:eastAsiaTheme="majorEastAsia" w:cstheme="majorBidi"/>
      <w:b/>
      <w:caps/>
      <w:color w:val="FFFFFF" w:themeColor="background1"/>
      <w:spacing w:val="5"/>
      <w:kern w:val="28"/>
      <w:sz w:val="32"/>
      <w:szCs w:val="52"/>
      <w:shd w:val="clear" w:color="auto" w:fill="1F497D" w:themeFill="text2"/>
    </w:rPr>
  </w:style>
  <w:style w:type="paragraph" w:styleId="Sottotitolo">
    <w:name w:val="Subtitle"/>
    <w:basedOn w:val="Normale"/>
    <w:next w:val="Normale"/>
    <w:link w:val="SottotitoloCarattere"/>
    <w:autoRedefine/>
    <w:uiPriority w:val="11"/>
    <w:qFormat/>
    <w:rsid w:val="000E1B12"/>
    <w:pPr>
      <w:numPr>
        <w:ilvl w:val="1"/>
      </w:numPr>
      <w:spacing w:after="360"/>
    </w:pPr>
    <w:rPr>
      <w:rFonts w:eastAsiaTheme="majorEastAsia" w:cstheme="majorBidi"/>
      <w:b/>
      <w:iCs/>
      <w:color w:val="595959" w:themeColor="text1" w:themeTint="A6"/>
      <w:spacing w:val="15"/>
      <w:sz w:val="24"/>
      <w:szCs w:val="24"/>
    </w:rPr>
  </w:style>
  <w:style w:type="character" w:customStyle="1" w:styleId="SottotitoloCarattere">
    <w:name w:val="Sottotitolo Carattere"/>
    <w:basedOn w:val="Carpredefinitoparagrafo"/>
    <w:link w:val="Sottotitolo"/>
    <w:uiPriority w:val="11"/>
    <w:rsid w:val="000E1B12"/>
    <w:rPr>
      <w:rFonts w:eastAsiaTheme="majorEastAsia" w:cstheme="majorBidi"/>
      <w:b/>
      <w:iCs/>
      <w:color w:val="595959" w:themeColor="text1" w:themeTint="A6"/>
      <w:spacing w:val="15"/>
      <w:sz w:val="24"/>
      <w:szCs w:val="24"/>
    </w:rPr>
  </w:style>
  <w:style w:type="character" w:styleId="Enfasidelicata">
    <w:name w:val="Subtle Emphasis"/>
    <w:aliases w:val="Titolo Tabella"/>
    <w:basedOn w:val="Carpredefinitoparagrafo"/>
    <w:uiPriority w:val="19"/>
    <w:qFormat/>
    <w:rsid w:val="00C76218"/>
    <w:rPr>
      <w:rFonts w:ascii="Century Gothic" w:hAnsi="Century Gothic"/>
      <w:b/>
      <w:i w:val="0"/>
      <w:iCs/>
      <w:color w:val="000000" w:themeColor="text1"/>
      <w:sz w:val="20"/>
    </w:rPr>
  </w:style>
  <w:style w:type="character" w:styleId="Enfasicorsivo">
    <w:name w:val="Emphasis"/>
    <w:basedOn w:val="Carpredefinitoparagrafo"/>
    <w:uiPriority w:val="20"/>
    <w:qFormat/>
    <w:rsid w:val="00B24591"/>
    <w:rPr>
      <w:rFonts w:ascii="Century Gothic" w:hAnsi="Century Gothic"/>
      <w:i/>
      <w:iCs/>
      <w:sz w:val="18"/>
    </w:rPr>
  </w:style>
  <w:style w:type="character" w:styleId="Enfasiintensa">
    <w:name w:val="Intense Emphasis"/>
    <w:basedOn w:val="Carpredefinitoparagrafo"/>
    <w:uiPriority w:val="21"/>
    <w:qFormat/>
    <w:rsid w:val="00B24591"/>
    <w:rPr>
      <w:rFonts w:ascii="Century Gothic" w:hAnsi="Century Gothic"/>
      <w:b/>
      <w:bCs/>
      <w:i/>
      <w:iCs/>
      <w:color w:val="4F81BD" w:themeColor="accent1"/>
      <w:sz w:val="16"/>
    </w:rPr>
  </w:style>
  <w:style w:type="character" w:styleId="Enfasigrassetto">
    <w:name w:val="Strong"/>
    <w:basedOn w:val="Carpredefinitoparagrafo"/>
    <w:uiPriority w:val="22"/>
    <w:qFormat/>
    <w:rsid w:val="00B24591"/>
    <w:rPr>
      <w:rFonts w:ascii="Century Gothic" w:hAnsi="Century Gothic"/>
      <w:b/>
      <w:bCs/>
      <w:sz w:val="16"/>
    </w:rPr>
  </w:style>
  <w:style w:type="paragraph" w:styleId="Citazione">
    <w:name w:val="Quote"/>
    <w:basedOn w:val="Normale"/>
    <w:next w:val="Normale"/>
    <w:link w:val="CitazioneCarattere"/>
    <w:uiPriority w:val="29"/>
    <w:qFormat/>
    <w:rsid w:val="00B24591"/>
    <w:rPr>
      <w:i/>
      <w:iCs/>
    </w:rPr>
  </w:style>
  <w:style w:type="character" w:customStyle="1" w:styleId="CitazioneCarattere">
    <w:name w:val="Citazione Carattere"/>
    <w:basedOn w:val="Carpredefinitoparagrafo"/>
    <w:link w:val="Citazione"/>
    <w:uiPriority w:val="29"/>
    <w:rsid w:val="00B24591"/>
    <w:rPr>
      <w:rFonts w:ascii="Century Gothic" w:hAnsi="Century Gothic"/>
      <w:i/>
      <w:iCs/>
      <w:color w:val="000000" w:themeColor="text1"/>
      <w:sz w:val="16"/>
    </w:rPr>
  </w:style>
  <w:style w:type="paragraph" w:styleId="Citazioneintensa">
    <w:name w:val="Intense Quote"/>
    <w:basedOn w:val="Normale"/>
    <w:next w:val="Normale"/>
    <w:link w:val="CitazioneintensaCarattere"/>
    <w:uiPriority w:val="30"/>
    <w:qFormat/>
    <w:rsid w:val="00B24591"/>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B24591"/>
    <w:rPr>
      <w:rFonts w:ascii="Century Gothic" w:hAnsi="Century Gothic"/>
      <w:b/>
      <w:bCs/>
      <w:i/>
      <w:iCs/>
      <w:color w:val="4F81BD" w:themeColor="accent1"/>
      <w:sz w:val="16"/>
    </w:rPr>
  </w:style>
  <w:style w:type="character" w:styleId="Riferimentodelicato">
    <w:name w:val="Subtle Reference"/>
    <w:basedOn w:val="Carpredefinitoparagrafo"/>
    <w:uiPriority w:val="31"/>
    <w:qFormat/>
    <w:rsid w:val="00B24591"/>
    <w:rPr>
      <w:rFonts w:ascii="Century Gothic" w:hAnsi="Century Gothic"/>
      <w:smallCaps/>
      <w:color w:val="C0504D" w:themeColor="accent2"/>
      <w:sz w:val="16"/>
      <w:u w:val="single"/>
    </w:rPr>
  </w:style>
  <w:style w:type="character" w:styleId="Riferimentointenso">
    <w:name w:val="Intense Reference"/>
    <w:basedOn w:val="Carpredefinitoparagrafo"/>
    <w:uiPriority w:val="32"/>
    <w:qFormat/>
    <w:rsid w:val="00B24591"/>
    <w:rPr>
      <w:rFonts w:ascii="Century Gothic" w:hAnsi="Century Gothic"/>
      <w:b/>
      <w:bCs/>
      <w:smallCaps/>
      <w:color w:val="C0504D" w:themeColor="accent2"/>
      <w:spacing w:val="5"/>
      <w:sz w:val="16"/>
      <w:u w:val="single"/>
    </w:rPr>
  </w:style>
  <w:style w:type="character" w:styleId="Titolodellibro">
    <w:name w:val="Book Title"/>
    <w:basedOn w:val="Carpredefinitoparagrafo"/>
    <w:uiPriority w:val="33"/>
    <w:qFormat/>
    <w:rsid w:val="00B24591"/>
    <w:rPr>
      <w:rFonts w:ascii="Century Gothic" w:hAnsi="Century Gothic"/>
      <w:b/>
      <w:bCs/>
      <w:smallCaps/>
      <w:spacing w:val="5"/>
      <w:sz w:val="18"/>
    </w:rPr>
  </w:style>
  <w:style w:type="paragraph" w:styleId="Paragrafoelenco">
    <w:name w:val="List Paragraph"/>
    <w:basedOn w:val="Normale"/>
    <w:uiPriority w:val="34"/>
    <w:qFormat/>
    <w:rsid w:val="00B24591"/>
    <w:pPr>
      <w:ind w:left="720"/>
      <w:contextualSpacing/>
    </w:pPr>
  </w:style>
  <w:style w:type="table" w:styleId="Grigliatabella">
    <w:name w:val="Table Grid"/>
    <w:basedOn w:val="Tabellanormale"/>
    <w:uiPriority w:val="59"/>
    <w:rsid w:val="00B2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uiPriority w:val="60"/>
    <w:rsid w:val="00B245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44B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medio1-Colore11">
    <w:name w:val="Sfondo medio 1 - Colore 11"/>
    <w:basedOn w:val="Tabellanormale"/>
    <w:uiPriority w:val="63"/>
    <w:rsid w:val="00944B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ECOTabella">
    <w:name w:val="SECO Tabella"/>
    <w:basedOn w:val="Grigliatabella"/>
    <w:uiPriority w:val="99"/>
    <w:rsid w:val="00E36F8B"/>
    <w:pPr>
      <w:keepLines/>
      <w:suppressAutoHyphens/>
    </w:pPr>
    <w:rPr>
      <w:color w:val="000000" w:themeColor="text1"/>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vAlign w:val="center"/>
    </w:tcPr>
    <w:tblStylePr w:type="firstRow">
      <w:pPr>
        <w:wordWrap/>
      </w:pPr>
      <w:rPr>
        <w:rFonts w:ascii="Century Gothic" w:hAnsi="Century Gothic"/>
        <w:b/>
        <w:color w:val="auto"/>
        <w:sz w:val="18"/>
      </w:rPr>
      <w:tblPr/>
      <w:tcPr>
        <w:shd w:val="clear" w:color="auto" w:fill="auto"/>
      </w:tcPr>
    </w:tblStylePr>
    <w:tblStylePr w:type="lastRow">
      <w:rPr>
        <w:rFonts w:ascii="Century Gothic" w:hAnsi="Century Gothic"/>
        <w:b w:val="0"/>
        <w:color w:val="0D0D0D" w:themeColor="text1" w:themeTint="F2"/>
        <w:sz w:val="16"/>
      </w:rPr>
    </w:tblStylePr>
    <w:tblStylePr w:type="band1Horz">
      <w:rPr>
        <w:color w:val="000000" w:themeColor="text1"/>
      </w:rPr>
      <w:tblPr/>
      <w:tcPr>
        <w:shd w:val="clear" w:color="auto" w:fill="C6D9F1" w:themeFill="text2" w:themeFillTint="33"/>
      </w:tcPr>
    </w:tblStylePr>
  </w:style>
  <w:style w:type="paragraph" w:styleId="Testofumetto">
    <w:name w:val="Balloon Text"/>
    <w:basedOn w:val="Normale"/>
    <w:link w:val="TestofumettoCarattere"/>
    <w:uiPriority w:val="99"/>
    <w:semiHidden/>
    <w:unhideWhenUsed/>
    <w:rsid w:val="00C76218"/>
    <w:pPr>
      <w:spacing w:after="0" w:line="240" w:lineRule="auto"/>
    </w:pPr>
    <w:rPr>
      <w:rFonts w:ascii="Tahoma" w:hAnsi="Tahoma" w:cs="Tahoma"/>
      <w:szCs w:val="16"/>
    </w:rPr>
  </w:style>
  <w:style w:type="character" w:customStyle="1" w:styleId="TestofumettoCarattere">
    <w:name w:val="Testo fumetto Carattere"/>
    <w:basedOn w:val="Carpredefinitoparagrafo"/>
    <w:link w:val="Testofumetto"/>
    <w:uiPriority w:val="99"/>
    <w:semiHidden/>
    <w:rsid w:val="00C76218"/>
    <w:rPr>
      <w:rFonts w:ascii="Tahoma" w:hAnsi="Tahoma" w:cs="Tahoma"/>
      <w:color w:val="000000" w:themeColor="text1"/>
      <w:sz w:val="16"/>
      <w:szCs w:val="16"/>
    </w:rPr>
  </w:style>
  <w:style w:type="paragraph" w:styleId="Testonotaapidipagina">
    <w:name w:val="footnote text"/>
    <w:basedOn w:val="Normale"/>
    <w:link w:val="TestonotaapidipaginaCarattere"/>
    <w:uiPriority w:val="99"/>
    <w:semiHidden/>
    <w:unhideWhenUsed/>
    <w:rsid w:val="00BA50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508A"/>
    <w:rPr>
      <w:sz w:val="20"/>
      <w:szCs w:val="20"/>
    </w:rPr>
  </w:style>
  <w:style w:type="character" w:styleId="Rimandonotaapidipagina">
    <w:name w:val="footnote reference"/>
    <w:basedOn w:val="Carpredefinitoparagrafo"/>
    <w:uiPriority w:val="99"/>
    <w:semiHidden/>
    <w:unhideWhenUsed/>
    <w:rsid w:val="00BA508A"/>
    <w:rPr>
      <w:vertAlign w:val="superscript"/>
    </w:rPr>
  </w:style>
  <w:style w:type="paragraph" w:customStyle="1" w:styleId="note">
    <w:name w:val="note"/>
    <w:basedOn w:val="Testonotaapidipagina"/>
    <w:link w:val="noteCarattere"/>
    <w:qFormat/>
    <w:rsid w:val="00F07DCA"/>
    <w:rPr>
      <w:sz w:val="16"/>
    </w:rPr>
  </w:style>
  <w:style w:type="paragraph" w:styleId="Didascalia">
    <w:name w:val="caption"/>
    <w:basedOn w:val="Normale"/>
    <w:next w:val="Normale"/>
    <w:uiPriority w:val="35"/>
    <w:unhideWhenUsed/>
    <w:qFormat/>
    <w:rsid w:val="00C61961"/>
    <w:pPr>
      <w:spacing w:line="240" w:lineRule="auto"/>
    </w:pPr>
    <w:rPr>
      <w:b/>
      <w:bCs/>
      <w:color w:val="808080" w:themeColor="background1" w:themeShade="80"/>
      <w:szCs w:val="18"/>
    </w:rPr>
  </w:style>
  <w:style w:type="character" w:customStyle="1" w:styleId="noteCarattere">
    <w:name w:val="note Carattere"/>
    <w:basedOn w:val="TestonotaapidipaginaCarattere"/>
    <w:link w:val="note"/>
    <w:rsid w:val="00F07DCA"/>
    <w:rPr>
      <w:sz w:val="20"/>
      <w:szCs w:val="20"/>
    </w:rPr>
  </w:style>
  <w:style w:type="paragraph" w:styleId="Intestazione">
    <w:name w:val="header"/>
    <w:basedOn w:val="Normale"/>
    <w:link w:val="IntestazioneCarattere"/>
    <w:uiPriority w:val="99"/>
    <w:unhideWhenUsed/>
    <w:rsid w:val="003E62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271"/>
  </w:style>
  <w:style w:type="paragraph" w:styleId="Pidipagina">
    <w:name w:val="footer"/>
    <w:basedOn w:val="Normale"/>
    <w:link w:val="PidipaginaCarattere"/>
    <w:uiPriority w:val="99"/>
    <w:unhideWhenUsed/>
    <w:rsid w:val="003E62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271"/>
  </w:style>
  <w:style w:type="character" w:styleId="Collegamentoipertestuale">
    <w:name w:val="Hyperlink"/>
    <w:basedOn w:val="Carpredefinitoparagrafo"/>
    <w:uiPriority w:val="99"/>
    <w:unhideWhenUsed/>
    <w:rsid w:val="00067F82"/>
    <w:rPr>
      <w:color w:val="0000FF" w:themeColor="hyperlink"/>
      <w:u w:val="single"/>
    </w:rPr>
  </w:style>
  <w:style w:type="paragraph" w:styleId="Titolosommario">
    <w:name w:val="TOC Heading"/>
    <w:basedOn w:val="Titolo1"/>
    <w:next w:val="Normale"/>
    <w:uiPriority w:val="39"/>
    <w:unhideWhenUsed/>
    <w:qFormat/>
    <w:rsid w:val="00140553"/>
    <w:pPr>
      <w:numPr>
        <w:numId w:val="0"/>
      </w:numPr>
      <w:pBdr>
        <w:bottom w:val="none" w:sz="0" w:space="0" w:color="auto"/>
      </w:pBdr>
      <w:spacing w:before="480" w:after="0"/>
      <w:outlineLvl w:val="9"/>
    </w:pPr>
    <w:rPr>
      <w:rFonts w:asciiTheme="majorHAnsi" w:hAnsiTheme="majorHAnsi"/>
      <w:color w:val="365F91" w:themeColor="accent1" w:themeShade="BF"/>
      <w:sz w:val="28"/>
      <w:lang w:eastAsia="it-IT"/>
    </w:rPr>
  </w:style>
  <w:style w:type="paragraph" w:styleId="Sommario1">
    <w:name w:val="toc 1"/>
    <w:basedOn w:val="Normale"/>
    <w:next w:val="Normale"/>
    <w:autoRedefine/>
    <w:uiPriority w:val="39"/>
    <w:unhideWhenUsed/>
    <w:qFormat/>
    <w:rsid w:val="00140553"/>
    <w:pPr>
      <w:spacing w:after="100"/>
    </w:pPr>
  </w:style>
  <w:style w:type="paragraph" w:styleId="Sommario2">
    <w:name w:val="toc 2"/>
    <w:basedOn w:val="Normale"/>
    <w:next w:val="Normale"/>
    <w:autoRedefine/>
    <w:uiPriority w:val="39"/>
    <w:unhideWhenUsed/>
    <w:qFormat/>
    <w:rsid w:val="00140553"/>
    <w:pPr>
      <w:spacing w:after="100"/>
      <w:ind w:left="160"/>
    </w:pPr>
  </w:style>
  <w:style w:type="paragraph" w:styleId="Sommario3">
    <w:name w:val="toc 3"/>
    <w:basedOn w:val="Normale"/>
    <w:next w:val="Normale"/>
    <w:autoRedefine/>
    <w:uiPriority w:val="39"/>
    <w:unhideWhenUsed/>
    <w:qFormat/>
    <w:rsid w:val="00140553"/>
    <w:pPr>
      <w:spacing w:after="100"/>
      <w:ind w:left="320"/>
    </w:pPr>
  </w:style>
  <w:style w:type="paragraph" w:styleId="Sommario4">
    <w:name w:val="toc 4"/>
    <w:basedOn w:val="Normale"/>
    <w:next w:val="Normale"/>
    <w:autoRedefine/>
    <w:uiPriority w:val="39"/>
    <w:unhideWhenUsed/>
    <w:rsid w:val="00C75057"/>
    <w:pPr>
      <w:spacing w:after="100"/>
      <w:ind w:left="480"/>
    </w:pPr>
  </w:style>
  <w:style w:type="character" w:styleId="Menzionenonrisolta">
    <w:name w:val="Unresolved Mention"/>
    <w:basedOn w:val="Carpredefinitoparagrafo"/>
    <w:uiPriority w:val="99"/>
    <w:semiHidden/>
    <w:unhideWhenUsed/>
    <w:rsid w:val="00F34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4791">
      <w:bodyDiv w:val="1"/>
      <w:marLeft w:val="0"/>
      <w:marRight w:val="0"/>
      <w:marTop w:val="0"/>
      <w:marBottom w:val="0"/>
      <w:divBdr>
        <w:top w:val="none" w:sz="0" w:space="0" w:color="auto"/>
        <w:left w:val="none" w:sz="0" w:space="0" w:color="auto"/>
        <w:bottom w:val="none" w:sz="0" w:space="0" w:color="auto"/>
        <w:right w:val="none" w:sz="0" w:space="0" w:color="auto"/>
      </w:divBdr>
    </w:div>
    <w:div w:id="205800903">
      <w:bodyDiv w:val="1"/>
      <w:marLeft w:val="0"/>
      <w:marRight w:val="0"/>
      <w:marTop w:val="0"/>
      <w:marBottom w:val="0"/>
      <w:divBdr>
        <w:top w:val="none" w:sz="0" w:space="0" w:color="auto"/>
        <w:left w:val="none" w:sz="0" w:space="0" w:color="auto"/>
        <w:bottom w:val="none" w:sz="0" w:space="0" w:color="auto"/>
        <w:right w:val="none" w:sz="0" w:space="0" w:color="auto"/>
      </w:divBdr>
      <w:divsChild>
        <w:div w:id="1247030259">
          <w:marLeft w:val="0"/>
          <w:marRight w:val="0"/>
          <w:marTop w:val="0"/>
          <w:marBottom w:val="0"/>
          <w:divBdr>
            <w:top w:val="none" w:sz="0" w:space="0" w:color="auto"/>
            <w:left w:val="none" w:sz="0" w:space="0" w:color="auto"/>
            <w:bottom w:val="none" w:sz="0" w:space="0" w:color="auto"/>
            <w:right w:val="none" w:sz="0" w:space="0" w:color="auto"/>
          </w:divBdr>
          <w:divsChild>
            <w:div w:id="1478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2928">
      <w:bodyDiv w:val="1"/>
      <w:marLeft w:val="0"/>
      <w:marRight w:val="0"/>
      <w:marTop w:val="0"/>
      <w:marBottom w:val="0"/>
      <w:divBdr>
        <w:top w:val="none" w:sz="0" w:space="0" w:color="auto"/>
        <w:left w:val="none" w:sz="0" w:space="0" w:color="auto"/>
        <w:bottom w:val="none" w:sz="0" w:space="0" w:color="auto"/>
        <w:right w:val="none" w:sz="0" w:space="0" w:color="auto"/>
      </w:divBdr>
    </w:div>
    <w:div w:id="12912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ezproxy.unibo.it/pmc/articles/PMC7362846/"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ezproxy.unibo.it/pmc/articles/PMC739795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ubmed-ncbi-nlm-nih-gov.ezproxy.unibo.it/32587703/" TargetMode="External"/><Relationship Id="rId4" Type="http://schemas.openxmlformats.org/officeDocument/2006/relationships/settings" Target="settings.xml"/><Relationship Id="rId9" Type="http://schemas.openxmlformats.org/officeDocument/2006/relationships/hyperlink" Target="https://pubmed-ncbi-nlm-nih-gov.ezproxy.unibo.it/3145556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FC29-0F6B-4B25-AB56-A4490D54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1709</Words>
  <Characters>9746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Illiano</dc:creator>
  <cp:lastModifiedBy>Federica Illiano</cp:lastModifiedBy>
  <cp:revision>12</cp:revision>
  <cp:lastPrinted>2020-09-29T09:03:00Z</cp:lastPrinted>
  <dcterms:created xsi:type="dcterms:W3CDTF">2020-09-28T15:50:00Z</dcterms:created>
  <dcterms:modified xsi:type="dcterms:W3CDTF">2020-10-19T13:44:00Z</dcterms:modified>
</cp:coreProperties>
</file>